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4363EBB" w14:textId="3910AE31" w:rsidR="00EB0B1F" w:rsidRDefault="00EB0B1F" w:rsidP="00FB0DA0">
      <w:pPr>
        <w:rPr>
          <w:rFonts w:ascii="Calibri" w:hAnsi="Calibri" w:cs="Calibri"/>
          <w:b/>
          <w:lang w:val="en-GB"/>
        </w:rPr>
      </w:pPr>
      <w:r w:rsidRPr="00EB0B1F">
        <w:rPr>
          <w:rFonts w:ascii="Calibri" w:hAnsi="Calibri" w:cs="Calibri"/>
          <w:b/>
          <w:noProof/>
          <w:lang w:val="en-GB"/>
        </w:rPr>
        <w:drawing>
          <wp:inline distT="0" distB="0" distL="0" distR="0" wp14:anchorId="3274B55C" wp14:editId="6A6213CA">
            <wp:extent cx="6120765" cy="8655050"/>
            <wp:effectExtent l="0" t="0" r="0" b="0"/>
            <wp:docPr id="765731721" name="Picture 4" descr="A close-up of a cov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5731721" name="Picture 4" descr="A close-up of a cover&#10;&#10;Description automatically generated"/>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120765" cy="8655050"/>
                    </a:xfrm>
                    <a:prstGeom prst="rect">
                      <a:avLst/>
                    </a:prstGeom>
                    <a:noFill/>
                    <a:ln>
                      <a:noFill/>
                    </a:ln>
                  </pic:spPr>
                </pic:pic>
              </a:graphicData>
            </a:graphic>
          </wp:inline>
        </w:drawing>
      </w:r>
    </w:p>
    <w:bookmarkStart w:id="0" w:name="_Toc167079282" w:displacedByCustomXml="next"/>
    <w:sdt>
      <w:sdtPr>
        <w:rPr>
          <w:rFonts w:ascii="Calibri" w:eastAsia="Times New Roman" w:hAnsi="Calibri" w:cs="Calibri"/>
          <w:b w:val="0"/>
          <w:bCs w:val="0"/>
          <w:color w:val="auto"/>
          <w:sz w:val="24"/>
          <w:szCs w:val="24"/>
          <w:lang w:eastAsia="en-GB"/>
        </w:rPr>
        <w:id w:val="1902246008"/>
        <w:docPartObj>
          <w:docPartGallery w:val="Table of Contents"/>
          <w:docPartUnique/>
        </w:docPartObj>
      </w:sdtPr>
      <w:sdtEndPr>
        <w:rPr>
          <w:noProof/>
        </w:rPr>
      </w:sdtEndPr>
      <w:sdtContent>
        <w:p w14:paraId="16AD94BC" w14:textId="2713ABC3" w:rsidR="00B720D9" w:rsidRPr="00616282" w:rsidRDefault="00B720D9">
          <w:pPr>
            <w:pStyle w:val="TOCHeading"/>
            <w:rPr>
              <w:rFonts w:ascii="Calibri" w:hAnsi="Calibri" w:cs="Calibri"/>
            </w:rPr>
          </w:pPr>
          <w:r w:rsidRPr="003C4F95">
            <w:rPr>
              <w:rFonts w:ascii="Calibri" w:hAnsi="Calibri" w:cs="Calibri"/>
            </w:rPr>
            <w:t>Table of Contents</w:t>
          </w:r>
        </w:p>
        <w:p w14:paraId="7FA746B2" w14:textId="10B3A514" w:rsidR="002D5971" w:rsidRDefault="00B720D9">
          <w:pPr>
            <w:pStyle w:val="TOC1"/>
            <w:tabs>
              <w:tab w:val="right" w:leader="dot" w:pos="9204"/>
            </w:tabs>
            <w:rPr>
              <w:rFonts w:eastAsiaTheme="minorEastAsia" w:cstheme="minorBidi"/>
              <w:b w:val="0"/>
              <w:bCs w:val="0"/>
              <w:i w:val="0"/>
              <w:iCs w:val="0"/>
              <w:noProof/>
              <w:kern w:val="2"/>
              <w14:ligatures w14:val="standardContextual"/>
            </w:rPr>
          </w:pPr>
          <w:r w:rsidRPr="00647D87">
            <w:rPr>
              <w:rFonts w:ascii="Calibri" w:hAnsi="Calibri" w:cs="Calibri"/>
              <w:b w:val="0"/>
              <w:bCs w:val="0"/>
              <w:i w:val="0"/>
              <w:iCs w:val="0"/>
            </w:rPr>
            <w:fldChar w:fldCharType="begin"/>
          </w:r>
          <w:r w:rsidRPr="00647D87">
            <w:rPr>
              <w:rFonts w:ascii="Calibri" w:hAnsi="Calibri" w:cs="Calibri"/>
              <w:i w:val="0"/>
              <w:iCs w:val="0"/>
            </w:rPr>
            <w:instrText xml:space="preserve"> TOC \o "1-3" \h \z \u </w:instrText>
          </w:r>
          <w:r w:rsidRPr="00647D87">
            <w:rPr>
              <w:rFonts w:ascii="Calibri" w:hAnsi="Calibri" w:cs="Calibri"/>
              <w:b w:val="0"/>
              <w:bCs w:val="0"/>
              <w:i w:val="0"/>
              <w:iCs w:val="0"/>
            </w:rPr>
            <w:fldChar w:fldCharType="separate"/>
          </w:r>
          <w:hyperlink w:anchor="_Toc171908176" w:history="1">
            <w:r w:rsidR="002D5971" w:rsidRPr="00A77E30">
              <w:rPr>
                <w:rStyle w:val="Hyperlink"/>
                <w:rFonts w:ascii="Calibri" w:hAnsi="Calibri" w:cs="Calibri"/>
                <w:noProof/>
                <w:lang w:val="en-GB"/>
              </w:rPr>
              <w:t>List of abbreviations</w:t>
            </w:r>
            <w:r w:rsidR="002D5971">
              <w:rPr>
                <w:noProof/>
                <w:webHidden/>
              </w:rPr>
              <w:tab/>
            </w:r>
            <w:r w:rsidR="002D5971">
              <w:rPr>
                <w:noProof/>
                <w:webHidden/>
              </w:rPr>
              <w:fldChar w:fldCharType="begin"/>
            </w:r>
            <w:r w:rsidR="002D5971">
              <w:rPr>
                <w:noProof/>
                <w:webHidden/>
              </w:rPr>
              <w:instrText xml:space="preserve"> PAGEREF _Toc171908176 \h </w:instrText>
            </w:r>
            <w:r w:rsidR="002D5971">
              <w:rPr>
                <w:noProof/>
                <w:webHidden/>
              </w:rPr>
            </w:r>
            <w:r w:rsidR="002D5971">
              <w:rPr>
                <w:noProof/>
                <w:webHidden/>
              </w:rPr>
              <w:fldChar w:fldCharType="separate"/>
            </w:r>
            <w:r w:rsidR="0096670A">
              <w:rPr>
                <w:noProof/>
                <w:webHidden/>
              </w:rPr>
              <w:t>4</w:t>
            </w:r>
            <w:r w:rsidR="002D5971">
              <w:rPr>
                <w:noProof/>
                <w:webHidden/>
              </w:rPr>
              <w:fldChar w:fldCharType="end"/>
            </w:r>
          </w:hyperlink>
        </w:p>
        <w:p w14:paraId="4F500AE8" w14:textId="080DAD1F" w:rsidR="002D5971" w:rsidRDefault="002D5971">
          <w:pPr>
            <w:pStyle w:val="TOC1"/>
            <w:tabs>
              <w:tab w:val="left" w:pos="480"/>
              <w:tab w:val="right" w:leader="dot" w:pos="9204"/>
            </w:tabs>
            <w:rPr>
              <w:rFonts w:eastAsiaTheme="minorEastAsia" w:cstheme="minorBidi"/>
              <w:b w:val="0"/>
              <w:bCs w:val="0"/>
              <w:i w:val="0"/>
              <w:iCs w:val="0"/>
              <w:noProof/>
              <w:kern w:val="2"/>
              <w14:ligatures w14:val="standardContextual"/>
            </w:rPr>
          </w:pPr>
          <w:hyperlink w:anchor="_Toc171908177" w:history="1">
            <w:r w:rsidRPr="00A77E30">
              <w:rPr>
                <w:rStyle w:val="Hyperlink"/>
                <w:rFonts w:ascii="Calibri" w:hAnsi="Calibri" w:cs="Calibri"/>
                <w:noProof/>
              </w:rPr>
              <w:t>1.</w:t>
            </w:r>
            <w:r>
              <w:rPr>
                <w:rFonts w:eastAsiaTheme="minorEastAsia" w:cstheme="minorBidi"/>
                <w:b w:val="0"/>
                <w:bCs w:val="0"/>
                <w:i w:val="0"/>
                <w:iCs w:val="0"/>
                <w:noProof/>
                <w:kern w:val="2"/>
                <w14:ligatures w14:val="standardContextual"/>
              </w:rPr>
              <w:tab/>
            </w:r>
            <w:r w:rsidRPr="00A77E30">
              <w:rPr>
                <w:rStyle w:val="Hyperlink"/>
                <w:rFonts w:ascii="Calibri" w:hAnsi="Calibri" w:cs="Calibri"/>
                <w:noProof/>
              </w:rPr>
              <w:t>Foreword</w:t>
            </w:r>
            <w:r>
              <w:rPr>
                <w:noProof/>
                <w:webHidden/>
              </w:rPr>
              <w:tab/>
            </w:r>
            <w:r>
              <w:rPr>
                <w:noProof/>
                <w:webHidden/>
              </w:rPr>
              <w:fldChar w:fldCharType="begin"/>
            </w:r>
            <w:r>
              <w:rPr>
                <w:noProof/>
                <w:webHidden/>
              </w:rPr>
              <w:instrText xml:space="preserve"> PAGEREF _Toc171908177 \h </w:instrText>
            </w:r>
            <w:r>
              <w:rPr>
                <w:noProof/>
                <w:webHidden/>
              </w:rPr>
            </w:r>
            <w:r>
              <w:rPr>
                <w:noProof/>
                <w:webHidden/>
              </w:rPr>
              <w:fldChar w:fldCharType="separate"/>
            </w:r>
            <w:r w:rsidR="0096670A">
              <w:rPr>
                <w:noProof/>
                <w:webHidden/>
              </w:rPr>
              <w:t>5</w:t>
            </w:r>
            <w:r>
              <w:rPr>
                <w:noProof/>
                <w:webHidden/>
              </w:rPr>
              <w:fldChar w:fldCharType="end"/>
            </w:r>
          </w:hyperlink>
        </w:p>
        <w:p w14:paraId="4CBF43DE" w14:textId="03EA5B18" w:rsidR="002D5971" w:rsidRDefault="002D5971">
          <w:pPr>
            <w:pStyle w:val="TOC1"/>
            <w:tabs>
              <w:tab w:val="left" w:pos="480"/>
              <w:tab w:val="right" w:leader="dot" w:pos="9204"/>
            </w:tabs>
            <w:rPr>
              <w:rFonts w:eastAsiaTheme="minorEastAsia" w:cstheme="minorBidi"/>
              <w:b w:val="0"/>
              <w:bCs w:val="0"/>
              <w:i w:val="0"/>
              <w:iCs w:val="0"/>
              <w:noProof/>
              <w:kern w:val="2"/>
              <w14:ligatures w14:val="standardContextual"/>
            </w:rPr>
          </w:pPr>
          <w:hyperlink w:anchor="_Toc171908178" w:history="1">
            <w:r w:rsidRPr="00A77E30">
              <w:rPr>
                <w:rStyle w:val="Hyperlink"/>
                <w:rFonts w:ascii="Calibri" w:hAnsi="Calibri" w:cs="Calibri"/>
                <w:noProof/>
              </w:rPr>
              <w:t>2.</w:t>
            </w:r>
            <w:r>
              <w:rPr>
                <w:rFonts w:eastAsiaTheme="minorEastAsia" w:cstheme="minorBidi"/>
                <w:b w:val="0"/>
                <w:bCs w:val="0"/>
                <w:i w:val="0"/>
                <w:iCs w:val="0"/>
                <w:noProof/>
                <w:kern w:val="2"/>
                <w14:ligatures w14:val="standardContextual"/>
              </w:rPr>
              <w:tab/>
            </w:r>
            <w:r w:rsidRPr="00A77E30">
              <w:rPr>
                <w:rStyle w:val="Hyperlink"/>
                <w:rFonts w:ascii="Calibri" w:hAnsi="Calibri" w:cs="Calibri"/>
                <w:noProof/>
              </w:rPr>
              <w:t>Acknowledgements</w:t>
            </w:r>
            <w:r>
              <w:rPr>
                <w:noProof/>
                <w:webHidden/>
              </w:rPr>
              <w:tab/>
            </w:r>
            <w:r>
              <w:rPr>
                <w:noProof/>
                <w:webHidden/>
              </w:rPr>
              <w:fldChar w:fldCharType="begin"/>
            </w:r>
            <w:r>
              <w:rPr>
                <w:noProof/>
                <w:webHidden/>
              </w:rPr>
              <w:instrText xml:space="preserve"> PAGEREF _Toc171908178 \h </w:instrText>
            </w:r>
            <w:r>
              <w:rPr>
                <w:noProof/>
                <w:webHidden/>
              </w:rPr>
            </w:r>
            <w:r>
              <w:rPr>
                <w:noProof/>
                <w:webHidden/>
              </w:rPr>
              <w:fldChar w:fldCharType="separate"/>
            </w:r>
            <w:r w:rsidR="0096670A">
              <w:rPr>
                <w:noProof/>
                <w:webHidden/>
              </w:rPr>
              <w:t>7</w:t>
            </w:r>
            <w:r>
              <w:rPr>
                <w:noProof/>
                <w:webHidden/>
              </w:rPr>
              <w:fldChar w:fldCharType="end"/>
            </w:r>
          </w:hyperlink>
        </w:p>
        <w:p w14:paraId="609B7077" w14:textId="55A9BF2B" w:rsidR="002D5971" w:rsidRDefault="002D5971">
          <w:pPr>
            <w:pStyle w:val="TOC1"/>
            <w:tabs>
              <w:tab w:val="left" w:pos="480"/>
              <w:tab w:val="right" w:leader="dot" w:pos="9204"/>
            </w:tabs>
            <w:rPr>
              <w:rFonts w:eastAsiaTheme="minorEastAsia" w:cstheme="minorBidi"/>
              <w:b w:val="0"/>
              <w:bCs w:val="0"/>
              <w:i w:val="0"/>
              <w:iCs w:val="0"/>
              <w:noProof/>
              <w:kern w:val="2"/>
              <w14:ligatures w14:val="standardContextual"/>
            </w:rPr>
          </w:pPr>
          <w:hyperlink w:anchor="_Toc171908179" w:history="1">
            <w:r w:rsidRPr="00A77E30">
              <w:rPr>
                <w:rStyle w:val="Hyperlink"/>
                <w:rFonts w:ascii="Calibri" w:hAnsi="Calibri" w:cs="Calibri"/>
                <w:noProof/>
              </w:rPr>
              <w:t>3.</w:t>
            </w:r>
            <w:r>
              <w:rPr>
                <w:rFonts w:eastAsiaTheme="minorEastAsia" w:cstheme="minorBidi"/>
                <w:b w:val="0"/>
                <w:bCs w:val="0"/>
                <w:i w:val="0"/>
                <w:iCs w:val="0"/>
                <w:noProof/>
                <w:kern w:val="2"/>
                <w14:ligatures w14:val="standardContextual"/>
              </w:rPr>
              <w:tab/>
            </w:r>
            <w:r w:rsidRPr="00A77E30">
              <w:rPr>
                <w:rStyle w:val="Hyperlink"/>
                <w:rFonts w:ascii="Calibri" w:hAnsi="Calibri" w:cs="Calibri"/>
                <w:noProof/>
              </w:rPr>
              <w:t>Background, Purpose, and Principles</w:t>
            </w:r>
            <w:r>
              <w:rPr>
                <w:noProof/>
                <w:webHidden/>
              </w:rPr>
              <w:tab/>
            </w:r>
            <w:r>
              <w:rPr>
                <w:noProof/>
                <w:webHidden/>
              </w:rPr>
              <w:fldChar w:fldCharType="begin"/>
            </w:r>
            <w:r>
              <w:rPr>
                <w:noProof/>
                <w:webHidden/>
              </w:rPr>
              <w:instrText xml:space="preserve"> PAGEREF _Toc171908179 \h </w:instrText>
            </w:r>
            <w:r>
              <w:rPr>
                <w:noProof/>
                <w:webHidden/>
              </w:rPr>
            </w:r>
            <w:r>
              <w:rPr>
                <w:noProof/>
                <w:webHidden/>
              </w:rPr>
              <w:fldChar w:fldCharType="separate"/>
            </w:r>
            <w:r w:rsidR="0096670A">
              <w:rPr>
                <w:noProof/>
                <w:webHidden/>
              </w:rPr>
              <w:t>8</w:t>
            </w:r>
            <w:r>
              <w:rPr>
                <w:noProof/>
                <w:webHidden/>
              </w:rPr>
              <w:fldChar w:fldCharType="end"/>
            </w:r>
          </w:hyperlink>
        </w:p>
        <w:p w14:paraId="463676BF" w14:textId="62A6C0E2" w:rsidR="002D5971" w:rsidRDefault="002D5971">
          <w:pPr>
            <w:pStyle w:val="TOC1"/>
            <w:tabs>
              <w:tab w:val="left" w:pos="480"/>
              <w:tab w:val="right" w:leader="dot" w:pos="9204"/>
            </w:tabs>
            <w:rPr>
              <w:rFonts w:eastAsiaTheme="minorEastAsia" w:cstheme="minorBidi"/>
              <w:b w:val="0"/>
              <w:bCs w:val="0"/>
              <w:i w:val="0"/>
              <w:iCs w:val="0"/>
              <w:noProof/>
              <w:kern w:val="2"/>
              <w14:ligatures w14:val="standardContextual"/>
            </w:rPr>
          </w:pPr>
          <w:hyperlink w:anchor="_Toc171908180" w:history="1">
            <w:r w:rsidRPr="00A77E30">
              <w:rPr>
                <w:rStyle w:val="Hyperlink"/>
                <w:rFonts w:ascii="Calibri" w:hAnsi="Calibri" w:cs="Calibri"/>
                <w:noProof/>
              </w:rPr>
              <w:t>4.</w:t>
            </w:r>
            <w:r>
              <w:rPr>
                <w:rFonts w:eastAsiaTheme="minorEastAsia" w:cstheme="minorBidi"/>
                <w:b w:val="0"/>
                <w:bCs w:val="0"/>
                <w:i w:val="0"/>
                <w:iCs w:val="0"/>
                <w:noProof/>
                <w:kern w:val="2"/>
                <w14:ligatures w14:val="standardContextual"/>
              </w:rPr>
              <w:tab/>
            </w:r>
            <w:r w:rsidRPr="00A77E30">
              <w:rPr>
                <w:rStyle w:val="Hyperlink"/>
                <w:rFonts w:ascii="Calibri" w:hAnsi="Calibri" w:cs="Calibri"/>
                <w:noProof/>
              </w:rPr>
              <w:t xml:space="preserve">Exposure to </w:t>
            </w:r>
            <w:r w:rsidR="0008057D">
              <w:rPr>
                <w:rStyle w:val="Hyperlink"/>
                <w:rFonts w:ascii="Calibri" w:hAnsi="Calibri" w:cs="Calibri"/>
                <w:noProof/>
              </w:rPr>
              <w:t>climate-related</w:t>
            </w:r>
            <w:r w:rsidRPr="00A77E30">
              <w:rPr>
                <w:rStyle w:val="Hyperlink"/>
                <w:rFonts w:ascii="Calibri" w:hAnsi="Calibri" w:cs="Calibri"/>
                <w:noProof/>
              </w:rPr>
              <w:t xml:space="preserve"> financial risks</w:t>
            </w:r>
            <w:r>
              <w:rPr>
                <w:noProof/>
                <w:webHidden/>
              </w:rPr>
              <w:tab/>
            </w:r>
            <w:r>
              <w:rPr>
                <w:noProof/>
                <w:webHidden/>
              </w:rPr>
              <w:fldChar w:fldCharType="begin"/>
            </w:r>
            <w:r>
              <w:rPr>
                <w:noProof/>
                <w:webHidden/>
              </w:rPr>
              <w:instrText xml:space="preserve"> PAGEREF _Toc171908180 \h </w:instrText>
            </w:r>
            <w:r>
              <w:rPr>
                <w:noProof/>
                <w:webHidden/>
              </w:rPr>
            </w:r>
            <w:r>
              <w:rPr>
                <w:noProof/>
                <w:webHidden/>
              </w:rPr>
              <w:fldChar w:fldCharType="separate"/>
            </w:r>
            <w:r w:rsidR="0096670A">
              <w:rPr>
                <w:noProof/>
                <w:webHidden/>
              </w:rPr>
              <w:t>10</w:t>
            </w:r>
            <w:r>
              <w:rPr>
                <w:noProof/>
                <w:webHidden/>
              </w:rPr>
              <w:fldChar w:fldCharType="end"/>
            </w:r>
          </w:hyperlink>
        </w:p>
        <w:p w14:paraId="32765E58" w14:textId="3E5E836D" w:rsidR="002D5971" w:rsidRDefault="002D5971">
          <w:pPr>
            <w:pStyle w:val="TOC2"/>
            <w:tabs>
              <w:tab w:val="right" w:leader="dot" w:pos="9204"/>
            </w:tabs>
            <w:rPr>
              <w:rFonts w:eastAsiaTheme="minorEastAsia" w:cstheme="minorBidi"/>
              <w:b w:val="0"/>
              <w:bCs w:val="0"/>
              <w:noProof/>
              <w:kern w:val="2"/>
              <w:sz w:val="24"/>
              <w:szCs w:val="24"/>
              <w14:ligatures w14:val="standardContextual"/>
            </w:rPr>
          </w:pPr>
          <w:hyperlink w:anchor="_Toc171908181" w:history="1">
            <w:r w:rsidRPr="00A77E30">
              <w:rPr>
                <w:rStyle w:val="Hyperlink"/>
                <w:rFonts w:ascii="Calibri" w:hAnsi="Calibri" w:cs="Calibri"/>
                <w:noProof/>
                <w:lang w:val="en-GB"/>
              </w:rPr>
              <w:t>Physical Risk Exposures</w:t>
            </w:r>
            <w:r>
              <w:rPr>
                <w:noProof/>
                <w:webHidden/>
              </w:rPr>
              <w:tab/>
            </w:r>
            <w:r>
              <w:rPr>
                <w:noProof/>
                <w:webHidden/>
              </w:rPr>
              <w:fldChar w:fldCharType="begin"/>
            </w:r>
            <w:r>
              <w:rPr>
                <w:noProof/>
                <w:webHidden/>
              </w:rPr>
              <w:instrText xml:space="preserve"> PAGEREF _Toc171908181 \h </w:instrText>
            </w:r>
            <w:r>
              <w:rPr>
                <w:noProof/>
                <w:webHidden/>
              </w:rPr>
            </w:r>
            <w:r>
              <w:rPr>
                <w:noProof/>
                <w:webHidden/>
              </w:rPr>
              <w:fldChar w:fldCharType="separate"/>
            </w:r>
            <w:r w:rsidR="0096670A">
              <w:rPr>
                <w:noProof/>
                <w:webHidden/>
              </w:rPr>
              <w:t>11</w:t>
            </w:r>
            <w:r>
              <w:rPr>
                <w:noProof/>
                <w:webHidden/>
              </w:rPr>
              <w:fldChar w:fldCharType="end"/>
            </w:r>
          </w:hyperlink>
        </w:p>
        <w:p w14:paraId="020E3176" w14:textId="443ED823" w:rsidR="002D5971" w:rsidRDefault="002D5971">
          <w:pPr>
            <w:pStyle w:val="TOC2"/>
            <w:tabs>
              <w:tab w:val="right" w:leader="dot" w:pos="9204"/>
            </w:tabs>
            <w:rPr>
              <w:rFonts w:eastAsiaTheme="minorEastAsia" w:cstheme="minorBidi"/>
              <w:b w:val="0"/>
              <w:bCs w:val="0"/>
              <w:noProof/>
              <w:kern w:val="2"/>
              <w:sz w:val="24"/>
              <w:szCs w:val="24"/>
              <w14:ligatures w14:val="standardContextual"/>
            </w:rPr>
          </w:pPr>
          <w:hyperlink w:anchor="_Toc171908182" w:history="1">
            <w:r w:rsidRPr="00A77E30">
              <w:rPr>
                <w:rStyle w:val="Hyperlink"/>
                <w:rFonts w:ascii="Calibri" w:hAnsi="Calibri" w:cs="Calibri"/>
                <w:noProof/>
                <w:lang w:val="en-GB"/>
              </w:rPr>
              <w:t>Transition Risk Exposures</w:t>
            </w:r>
            <w:r>
              <w:rPr>
                <w:noProof/>
                <w:webHidden/>
              </w:rPr>
              <w:tab/>
            </w:r>
            <w:r>
              <w:rPr>
                <w:noProof/>
                <w:webHidden/>
              </w:rPr>
              <w:fldChar w:fldCharType="begin"/>
            </w:r>
            <w:r>
              <w:rPr>
                <w:noProof/>
                <w:webHidden/>
              </w:rPr>
              <w:instrText xml:space="preserve"> PAGEREF _Toc171908182 \h </w:instrText>
            </w:r>
            <w:r>
              <w:rPr>
                <w:noProof/>
                <w:webHidden/>
              </w:rPr>
            </w:r>
            <w:r>
              <w:rPr>
                <w:noProof/>
                <w:webHidden/>
              </w:rPr>
              <w:fldChar w:fldCharType="separate"/>
            </w:r>
            <w:r w:rsidR="0096670A">
              <w:rPr>
                <w:noProof/>
                <w:webHidden/>
              </w:rPr>
              <w:t>13</w:t>
            </w:r>
            <w:r>
              <w:rPr>
                <w:noProof/>
                <w:webHidden/>
              </w:rPr>
              <w:fldChar w:fldCharType="end"/>
            </w:r>
          </w:hyperlink>
        </w:p>
        <w:p w14:paraId="758C2706" w14:textId="439E630D" w:rsidR="002D5971" w:rsidRDefault="002D5971">
          <w:pPr>
            <w:pStyle w:val="TOC1"/>
            <w:tabs>
              <w:tab w:val="left" w:pos="480"/>
              <w:tab w:val="right" w:leader="dot" w:pos="9204"/>
            </w:tabs>
            <w:rPr>
              <w:rFonts w:eastAsiaTheme="minorEastAsia" w:cstheme="minorBidi"/>
              <w:b w:val="0"/>
              <w:bCs w:val="0"/>
              <w:i w:val="0"/>
              <w:iCs w:val="0"/>
              <w:noProof/>
              <w:kern w:val="2"/>
              <w14:ligatures w14:val="standardContextual"/>
            </w:rPr>
          </w:pPr>
          <w:hyperlink w:anchor="_Toc171908183" w:history="1">
            <w:r w:rsidRPr="00A77E30">
              <w:rPr>
                <w:rStyle w:val="Hyperlink"/>
                <w:rFonts w:ascii="Calibri" w:hAnsi="Calibri" w:cs="Calibri"/>
                <w:noProof/>
              </w:rPr>
              <w:t>5.</w:t>
            </w:r>
            <w:r>
              <w:rPr>
                <w:rFonts w:eastAsiaTheme="minorEastAsia" w:cstheme="minorBidi"/>
                <w:b w:val="0"/>
                <w:bCs w:val="0"/>
                <w:i w:val="0"/>
                <w:iCs w:val="0"/>
                <w:noProof/>
                <w:kern w:val="2"/>
                <w14:ligatures w14:val="standardContextual"/>
              </w:rPr>
              <w:tab/>
            </w:r>
            <w:r w:rsidRPr="00A77E30">
              <w:rPr>
                <w:rStyle w:val="Hyperlink"/>
                <w:rFonts w:ascii="Calibri" w:hAnsi="Calibri" w:cs="Calibri"/>
                <w:noProof/>
              </w:rPr>
              <w:t>Governance</w:t>
            </w:r>
            <w:r>
              <w:rPr>
                <w:noProof/>
                <w:webHidden/>
              </w:rPr>
              <w:tab/>
            </w:r>
            <w:r>
              <w:rPr>
                <w:noProof/>
                <w:webHidden/>
              </w:rPr>
              <w:fldChar w:fldCharType="begin"/>
            </w:r>
            <w:r>
              <w:rPr>
                <w:noProof/>
                <w:webHidden/>
              </w:rPr>
              <w:instrText xml:space="preserve"> PAGEREF _Toc171908183 \h </w:instrText>
            </w:r>
            <w:r>
              <w:rPr>
                <w:noProof/>
                <w:webHidden/>
              </w:rPr>
            </w:r>
            <w:r>
              <w:rPr>
                <w:noProof/>
                <w:webHidden/>
              </w:rPr>
              <w:fldChar w:fldCharType="separate"/>
            </w:r>
            <w:r w:rsidR="0096670A">
              <w:rPr>
                <w:noProof/>
                <w:webHidden/>
              </w:rPr>
              <w:t>15</w:t>
            </w:r>
            <w:r>
              <w:rPr>
                <w:noProof/>
                <w:webHidden/>
              </w:rPr>
              <w:fldChar w:fldCharType="end"/>
            </w:r>
          </w:hyperlink>
        </w:p>
        <w:p w14:paraId="1CC20300" w14:textId="0446081C" w:rsidR="002D5971" w:rsidRDefault="002D5971">
          <w:pPr>
            <w:pStyle w:val="TOC3"/>
            <w:tabs>
              <w:tab w:val="right" w:leader="dot" w:pos="9204"/>
            </w:tabs>
            <w:rPr>
              <w:rFonts w:eastAsiaTheme="minorEastAsia" w:cstheme="minorBidi"/>
              <w:noProof/>
              <w:kern w:val="2"/>
              <w:sz w:val="24"/>
              <w:szCs w:val="24"/>
              <w14:ligatures w14:val="standardContextual"/>
            </w:rPr>
          </w:pPr>
          <w:hyperlink w:anchor="_Toc171908184" w:history="1">
            <w:r w:rsidRPr="00A77E30">
              <w:rPr>
                <w:rStyle w:val="Hyperlink"/>
                <w:rFonts w:ascii="Calibri" w:hAnsi="Calibri" w:cs="Calibri"/>
                <w:noProof/>
              </w:rPr>
              <w:t>Best practice on governance</w:t>
            </w:r>
            <w:r>
              <w:rPr>
                <w:noProof/>
                <w:webHidden/>
              </w:rPr>
              <w:tab/>
            </w:r>
            <w:r>
              <w:rPr>
                <w:noProof/>
                <w:webHidden/>
              </w:rPr>
              <w:fldChar w:fldCharType="begin"/>
            </w:r>
            <w:r>
              <w:rPr>
                <w:noProof/>
                <w:webHidden/>
              </w:rPr>
              <w:instrText xml:space="preserve"> PAGEREF _Toc171908184 \h </w:instrText>
            </w:r>
            <w:r>
              <w:rPr>
                <w:noProof/>
                <w:webHidden/>
              </w:rPr>
            </w:r>
            <w:r>
              <w:rPr>
                <w:noProof/>
                <w:webHidden/>
              </w:rPr>
              <w:fldChar w:fldCharType="separate"/>
            </w:r>
            <w:r w:rsidR="0096670A">
              <w:rPr>
                <w:noProof/>
                <w:webHidden/>
              </w:rPr>
              <w:t>16</w:t>
            </w:r>
            <w:r>
              <w:rPr>
                <w:noProof/>
                <w:webHidden/>
              </w:rPr>
              <w:fldChar w:fldCharType="end"/>
            </w:r>
          </w:hyperlink>
        </w:p>
        <w:p w14:paraId="59F9DE1B" w14:textId="7A789BF9" w:rsidR="002D5971" w:rsidRDefault="002D5971">
          <w:pPr>
            <w:pStyle w:val="TOC1"/>
            <w:tabs>
              <w:tab w:val="left" w:pos="480"/>
              <w:tab w:val="right" w:leader="dot" w:pos="9204"/>
            </w:tabs>
            <w:rPr>
              <w:rFonts w:eastAsiaTheme="minorEastAsia" w:cstheme="minorBidi"/>
              <w:b w:val="0"/>
              <w:bCs w:val="0"/>
              <w:i w:val="0"/>
              <w:iCs w:val="0"/>
              <w:noProof/>
              <w:kern w:val="2"/>
              <w14:ligatures w14:val="standardContextual"/>
            </w:rPr>
          </w:pPr>
          <w:hyperlink w:anchor="_Toc171908185" w:history="1">
            <w:r w:rsidRPr="00A77E30">
              <w:rPr>
                <w:rStyle w:val="Hyperlink"/>
                <w:rFonts w:ascii="Calibri" w:hAnsi="Calibri" w:cs="Calibri"/>
                <w:noProof/>
              </w:rPr>
              <w:t>6.</w:t>
            </w:r>
            <w:r>
              <w:rPr>
                <w:rFonts w:eastAsiaTheme="minorEastAsia" w:cstheme="minorBidi"/>
                <w:b w:val="0"/>
                <w:bCs w:val="0"/>
                <w:i w:val="0"/>
                <w:iCs w:val="0"/>
                <w:noProof/>
                <w:kern w:val="2"/>
                <w14:ligatures w14:val="standardContextual"/>
              </w:rPr>
              <w:tab/>
            </w:r>
            <w:r w:rsidRPr="00A77E30">
              <w:rPr>
                <w:rStyle w:val="Hyperlink"/>
                <w:rFonts w:ascii="Calibri" w:hAnsi="Calibri" w:cs="Calibri"/>
                <w:noProof/>
              </w:rPr>
              <w:t>Strategy for managing climate-related risks and opportunities</w:t>
            </w:r>
            <w:r>
              <w:rPr>
                <w:noProof/>
                <w:webHidden/>
              </w:rPr>
              <w:tab/>
            </w:r>
            <w:r>
              <w:rPr>
                <w:noProof/>
                <w:webHidden/>
              </w:rPr>
              <w:fldChar w:fldCharType="begin"/>
            </w:r>
            <w:r>
              <w:rPr>
                <w:noProof/>
                <w:webHidden/>
              </w:rPr>
              <w:instrText xml:space="preserve"> PAGEREF _Toc171908185 \h </w:instrText>
            </w:r>
            <w:r>
              <w:rPr>
                <w:noProof/>
                <w:webHidden/>
              </w:rPr>
            </w:r>
            <w:r>
              <w:rPr>
                <w:noProof/>
                <w:webHidden/>
              </w:rPr>
              <w:fldChar w:fldCharType="separate"/>
            </w:r>
            <w:r w:rsidR="0096670A">
              <w:rPr>
                <w:noProof/>
                <w:webHidden/>
              </w:rPr>
              <w:t>18</w:t>
            </w:r>
            <w:r>
              <w:rPr>
                <w:noProof/>
                <w:webHidden/>
              </w:rPr>
              <w:fldChar w:fldCharType="end"/>
            </w:r>
          </w:hyperlink>
        </w:p>
        <w:p w14:paraId="61CA9A1B" w14:textId="49B64770" w:rsidR="002D5971" w:rsidRDefault="002D5971">
          <w:pPr>
            <w:pStyle w:val="TOC3"/>
            <w:tabs>
              <w:tab w:val="right" w:leader="dot" w:pos="9204"/>
            </w:tabs>
            <w:rPr>
              <w:rFonts w:eastAsiaTheme="minorEastAsia" w:cstheme="minorBidi"/>
              <w:noProof/>
              <w:kern w:val="2"/>
              <w:sz w:val="24"/>
              <w:szCs w:val="24"/>
              <w14:ligatures w14:val="standardContextual"/>
            </w:rPr>
          </w:pPr>
          <w:hyperlink w:anchor="_Toc171908186" w:history="1">
            <w:r w:rsidRPr="00A77E30">
              <w:rPr>
                <w:rStyle w:val="Hyperlink"/>
                <w:rFonts w:ascii="Calibri" w:hAnsi="Calibri" w:cs="Calibri"/>
                <w:noProof/>
                <w:lang w:val="en-GB"/>
              </w:rPr>
              <w:t>Best practice on strategy</w:t>
            </w:r>
            <w:r>
              <w:rPr>
                <w:noProof/>
                <w:webHidden/>
              </w:rPr>
              <w:tab/>
            </w:r>
            <w:r>
              <w:rPr>
                <w:noProof/>
                <w:webHidden/>
              </w:rPr>
              <w:fldChar w:fldCharType="begin"/>
            </w:r>
            <w:r>
              <w:rPr>
                <w:noProof/>
                <w:webHidden/>
              </w:rPr>
              <w:instrText xml:space="preserve"> PAGEREF _Toc171908186 \h </w:instrText>
            </w:r>
            <w:r>
              <w:rPr>
                <w:noProof/>
                <w:webHidden/>
              </w:rPr>
            </w:r>
            <w:r>
              <w:rPr>
                <w:noProof/>
                <w:webHidden/>
              </w:rPr>
              <w:fldChar w:fldCharType="separate"/>
            </w:r>
            <w:r w:rsidR="0096670A">
              <w:rPr>
                <w:noProof/>
                <w:webHidden/>
              </w:rPr>
              <w:t>21</w:t>
            </w:r>
            <w:r>
              <w:rPr>
                <w:noProof/>
                <w:webHidden/>
              </w:rPr>
              <w:fldChar w:fldCharType="end"/>
            </w:r>
          </w:hyperlink>
        </w:p>
        <w:p w14:paraId="3486F805" w14:textId="476E0895" w:rsidR="002D5971" w:rsidRDefault="002D5971">
          <w:pPr>
            <w:pStyle w:val="TOC1"/>
            <w:tabs>
              <w:tab w:val="left" w:pos="480"/>
              <w:tab w:val="right" w:leader="dot" w:pos="9204"/>
            </w:tabs>
            <w:rPr>
              <w:rFonts w:eastAsiaTheme="minorEastAsia" w:cstheme="minorBidi"/>
              <w:b w:val="0"/>
              <w:bCs w:val="0"/>
              <w:i w:val="0"/>
              <w:iCs w:val="0"/>
              <w:noProof/>
              <w:kern w:val="2"/>
              <w14:ligatures w14:val="standardContextual"/>
            </w:rPr>
          </w:pPr>
          <w:hyperlink w:anchor="_Toc171908187" w:history="1">
            <w:r w:rsidRPr="00A77E30">
              <w:rPr>
                <w:rStyle w:val="Hyperlink"/>
                <w:rFonts w:ascii="Calibri" w:hAnsi="Calibri" w:cs="Calibri"/>
                <w:noProof/>
              </w:rPr>
              <w:t>7.</w:t>
            </w:r>
            <w:r>
              <w:rPr>
                <w:rFonts w:eastAsiaTheme="minorEastAsia" w:cstheme="minorBidi"/>
                <w:b w:val="0"/>
                <w:bCs w:val="0"/>
                <w:i w:val="0"/>
                <w:iCs w:val="0"/>
                <w:noProof/>
                <w:kern w:val="2"/>
                <w14:ligatures w14:val="standardContextual"/>
              </w:rPr>
              <w:tab/>
            </w:r>
            <w:r w:rsidRPr="00A77E30">
              <w:rPr>
                <w:rStyle w:val="Hyperlink"/>
                <w:rFonts w:ascii="Calibri" w:hAnsi="Calibri" w:cs="Calibri"/>
                <w:noProof/>
              </w:rPr>
              <w:t>Risk management</w:t>
            </w:r>
            <w:r>
              <w:rPr>
                <w:noProof/>
                <w:webHidden/>
              </w:rPr>
              <w:tab/>
            </w:r>
            <w:r>
              <w:rPr>
                <w:noProof/>
                <w:webHidden/>
              </w:rPr>
              <w:fldChar w:fldCharType="begin"/>
            </w:r>
            <w:r>
              <w:rPr>
                <w:noProof/>
                <w:webHidden/>
              </w:rPr>
              <w:instrText xml:space="preserve"> PAGEREF _Toc171908187 \h </w:instrText>
            </w:r>
            <w:r>
              <w:rPr>
                <w:noProof/>
                <w:webHidden/>
              </w:rPr>
            </w:r>
            <w:r>
              <w:rPr>
                <w:noProof/>
                <w:webHidden/>
              </w:rPr>
              <w:fldChar w:fldCharType="separate"/>
            </w:r>
            <w:r w:rsidR="0096670A">
              <w:rPr>
                <w:noProof/>
                <w:webHidden/>
              </w:rPr>
              <w:t>26</w:t>
            </w:r>
            <w:r>
              <w:rPr>
                <w:noProof/>
                <w:webHidden/>
              </w:rPr>
              <w:fldChar w:fldCharType="end"/>
            </w:r>
          </w:hyperlink>
        </w:p>
        <w:p w14:paraId="38E5951C" w14:textId="7B99FE3E" w:rsidR="002D5971" w:rsidRDefault="002D5971">
          <w:pPr>
            <w:pStyle w:val="TOC3"/>
            <w:tabs>
              <w:tab w:val="right" w:leader="dot" w:pos="9204"/>
            </w:tabs>
            <w:rPr>
              <w:rFonts w:eastAsiaTheme="minorEastAsia" w:cstheme="minorBidi"/>
              <w:noProof/>
              <w:kern w:val="2"/>
              <w:sz w:val="24"/>
              <w:szCs w:val="24"/>
              <w14:ligatures w14:val="standardContextual"/>
            </w:rPr>
          </w:pPr>
          <w:hyperlink w:anchor="_Toc171908188" w:history="1">
            <w:r w:rsidRPr="00A77E30">
              <w:rPr>
                <w:rStyle w:val="Hyperlink"/>
                <w:rFonts w:ascii="Calibri" w:hAnsi="Calibri" w:cs="Calibri"/>
                <w:noProof/>
                <w:lang w:val="en-GB"/>
              </w:rPr>
              <w:t>Best practice on risk management</w:t>
            </w:r>
            <w:r>
              <w:rPr>
                <w:noProof/>
                <w:webHidden/>
              </w:rPr>
              <w:tab/>
            </w:r>
            <w:r>
              <w:rPr>
                <w:noProof/>
                <w:webHidden/>
              </w:rPr>
              <w:fldChar w:fldCharType="begin"/>
            </w:r>
            <w:r>
              <w:rPr>
                <w:noProof/>
                <w:webHidden/>
              </w:rPr>
              <w:instrText xml:space="preserve"> PAGEREF _Toc171908188 \h </w:instrText>
            </w:r>
            <w:r>
              <w:rPr>
                <w:noProof/>
                <w:webHidden/>
              </w:rPr>
            </w:r>
            <w:r>
              <w:rPr>
                <w:noProof/>
                <w:webHidden/>
              </w:rPr>
              <w:fldChar w:fldCharType="separate"/>
            </w:r>
            <w:r w:rsidR="0096670A">
              <w:rPr>
                <w:noProof/>
                <w:webHidden/>
              </w:rPr>
              <w:t>28</w:t>
            </w:r>
            <w:r>
              <w:rPr>
                <w:noProof/>
                <w:webHidden/>
              </w:rPr>
              <w:fldChar w:fldCharType="end"/>
            </w:r>
          </w:hyperlink>
        </w:p>
        <w:p w14:paraId="5A961CFA" w14:textId="7D95595E" w:rsidR="002D5971" w:rsidRDefault="002D5971">
          <w:pPr>
            <w:pStyle w:val="TOC1"/>
            <w:tabs>
              <w:tab w:val="left" w:pos="480"/>
              <w:tab w:val="right" w:leader="dot" w:pos="9204"/>
            </w:tabs>
            <w:rPr>
              <w:rFonts w:eastAsiaTheme="minorEastAsia" w:cstheme="minorBidi"/>
              <w:b w:val="0"/>
              <w:bCs w:val="0"/>
              <w:i w:val="0"/>
              <w:iCs w:val="0"/>
              <w:noProof/>
              <w:kern w:val="2"/>
              <w14:ligatures w14:val="standardContextual"/>
            </w:rPr>
          </w:pPr>
          <w:hyperlink w:anchor="_Toc171908189" w:history="1">
            <w:r w:rsidRPr="00A77E30">
              <w:rPr>
                <w:rStyle w:val="Hyperlink"/>
                <w:rFonts w:ascii="Calibri" w:hAnsi="Calibri" w:cs="Calibri"/>
                <w:noProof/>
              </w:rPr>
              <w:t>8.</w:t>
            </w:r>
            <w:r>
              <w:rPr>
                <w:rFonts w:eastAsiaTheme="minorEastAsia" w:cstheme="minorBidi"/>
                <w:b w:val="0"/>
                <w:bCs w:val="0"/>
                <w:i w:val="0"/>
                <w:iCs w:val="0"/>
                <w:noProof/>
                <w:kern w:val="2"/>
                <w14:ligatures w14:val="standardContextual"/>
              </w:rPr>
              <w:tab/>
            </w:r>
            <w:r w:rsidRPr="00A77E30">
              <w:rPr>
                <w:rStyle w:val="Hyperlink"/>
                <w:rFonts w:ascii="Calibri" w:hAnsi="Calibri" w:cs="Calibri"/>
                <w:noProof/>
              </w:rPr>
              <w:t>Metrics and targets</w:t>
            </w:r>
            <w:r>
              <w:rPr>
                <w:noProof/>
                <w:webHidden/>
              </w:rPr>
              <w:tab/>
            </w:r>
            <w:r>
              <w:rPr>
                <w:noProof/>
                <w:webHidden/>
              </w:rPr>
              <w:fldChar w:fldCharType="begin"/>
            </w:r>
            <w:r>
              <w:rPr>
                <w:noProof/>
                <w:webHidden/>
              </w:rPr>
              <w:instrText xml:space="preserve"> PAGEREF _Toc171908189 \h </w:instrText>
            </w:r>
            <w:r>
              <w:rPr>
                <w:noProof/>
                <w:webHidden/>
              </w:rPr>
            </w:r>
            <w:r>
              <w:rPr>
                <w:noProof/>
                <w:webHidden/>
              </w:rPr>
              <w:fldChar w:fldCharType="separate"/>
            </w:r>
            <w:r w:rsidR="0096670A">
              <w:rPr>
                <w:noProof/>
                <w:webHidden/>
              </w:rPr>
              <w:t>31</w:t>
            </w:r>
            <w:r>
              <w:rPr>
                <w:noProof/>
                <w:webHidden/>
              </w:rPr>
              <w:fldChar w:fldCharType="end"/>
            </w:r>
          </w:hyperlink>
        </w:p>
        <w:p w14:paraId="4BE27970" w14:textId="3E0A8369" w:rsidR="002D5971" w:rsidRDefault="002D5971">
          <w:pPr>
            <w:pStyle w:val="TOC2"/>
            <w:tabs>
              <w:tab w:val="right" w:leader="dot" w:pos="9204"/>
            </w:tabs>
            <w:rPr>
              <w:rFonts w:eastAsiaTheme="minorEastAsia" w:cstheme="minorBidi"/>
              <w:b w:val="0"/>
              <w:bCs w:val="0"/>
              <w:noProof/>
              <w:kern w:val="2"/>
              <w:sz w:val="24"/>
              <w:szCs w:val="24"/>
              <w14:ligatures w14:val="standardContextual"/>
            </w:rPr>
          </w:pPr>
          <w:hyperlink w:anchor="_Toc171908190" w:history="1">
            <w:r w:rsidRPr="00A77E30">
              <w:rPr>
                <w:rStyle w:val="Hyperlink"/>
                <w:rFonts w:ascii="Calibri" w:hAnsi="Calibri" w:cs="Calibri"/>
                <w:noProof/>
              </w:rPr>
              <w:t>Best practice on metrics and targets</w:t>
            </w:r>
            <w:r>
              <w:rPr>
                <w:noProof/>
                <w:webHidden/>
              </w:rPr>
              <w:tab/>
            </w:r>
            <w:r>
              <w:rPr>
                <w:noProof/>
                <w:webHidden/>
              </w:rPr>
              <w:fldChar w:fldCharType="begin"/>
            </w:r>
            <w:r>
              <w:rPr>
                <w:noProof/>
                <w:webHidden/>
              </w:rPr>
              <w:instrText xml:space="preserve"> PAGEREF _Toc171908190 \h </w:instrText>
            </w:r>
            <w:r>
              <w:rPr>
                <w:noProof/>
                <w:webHidden/>
              </w:rPr>
            </w:r>
            <w:r>
              <w:rPr>
                <w:noProof/>
                <w:webHidden/>
              </w:rPr>
              <w:fldChar w:fldCharType="separate"/>
            </w:r>
            <w:r w:rsidR="0096670A">
              <w:rPr>
                <w:noProof/>
                <w:webHidden/>
              </w:rPr>
              <w:t>32</w:t>
            </w:r>
            <w:r>
              <w:rPr>
                <w:noProof/>
                <w:webHidden/>
              </w:rPr>
              <w:fldChar w:fldCharType="end"/>
            </w:r>
          </w:hyperlink>
        </w:p>
        <w:p w14:paraId="4A5996A1" w14:textId="6709C3F8" w:rsidR="002D5971" w:rsidRDefault="002D5971">
          <w:pPr>
            <w:pStyle w:val="TOC3"/>
            <w:tabs>
              <w:tab w:val="right" w:leader="dot" w:pos="9204"/>
            </w:tabs>
            <w:rPr>
              <w:rFonts w:eastAsiaTheme="minorEastAsia" w:cstheme="minorBidi"/>
              <w:noProof/>
              <w:kern w:val="2"/>
              <w:sz w:val="24"/>
              <w:szCs w:val="24"/>
              <w14:ligatures w14:val="standardContextual"/>
            </w:rPr>
          </w:pPr>
          <w:hyperlink w:anchor="_Toc171908191" w:history="1">
            <w:r w:rsidRPr="00A77E30">
              <w:rPr>
                <w:rStyle w:val="Hyperlink"/>
                <w:rFonts w:ascii="Calibri" w:hAnsi="Calibri" w:cs="Calibri"/>
                <w:noProof/>
                <w:lang w:val="en-GB"/>
              </w:rPr>
              <w:t>Climate-related metrics</w:t>
            </w:r>
            <w:r>
              <w:rPr>
                <w:noProof/>
                <w:webHidden/>
              </w:rPr>
              <w:tab/>
            </w:r>
            <w:r>
              <w:rPr>
                <w:noProof/>
                <w:webHidden/>
              </w:rPr>
              <w:fldChar w:fldCharType="begin"/>
            </w:r>
            <w:r>
              <w:rPr>
                <w:noProof/>
                <w:webHidden/>
              </w:rPr>
              <w:instrText xml:space="preserve"> PAGEREF _Toc171908191 \h </w:instrText>
            </w:r>
            <w:r>
              <w:rPr>
                <w:noProof/>
                <w:webHidden/>
              </w:rPr>
            </w:r>
            <w:r>
              <w:rPr>
                <w:noProof/>
                <w:webHidden/>
              </w:rPr>
              <w:fldChar w:fldCharType="separate"/>
            </w:r>
            <w:r w:rsidR="0096670A">
              <w:rPr>
                <w:noProof/>
                <w:webHidden/>
              </w:rPr>
              <w:t>32</w:t>
            </w:r>
            <w:r>
              <w:rPr>
                <w:noProof/>
                <w:webHidden/>
              </w:rPr>
              <w:fldChar w:fldCharType="end"/>
            </w:r>
          </w:hyperlink>
        </w:p>
        <w:p w14:paraId="69F46944" w14:textId="04AD8F20" w:rsidR="002D5971" w:rsidRDefault="002D5971">
          <w:pPr>
            <w:pStyle w:val="TOC3"/>
            <w:tabs>
              <w:tab w:val="right" w:leader="dot" w:pos="9204"/>
            </w:tabs>
            <w:rPr>
              <w:rFonts w:eastAsiaTheme="minorEastAsia" w:cstheme="minorBidi"/>
              <w:noProof/>
              <w:kern w:val="2"/>
              <w:sz w:val="24"/>
              <w:szCs w:val="24"/>
              <w14:ligatures w14:val="standardContextual"/>
            </w:rPr>
          </w:pPr>
          <w:hyperlink w:anchor="_Toc171908192" w:history="1">
            <w:r w:rsidRPr="00A77E30">
              <w:rPr>
                <w:rStyle w:val="Hyperlink"/>
                <w:rFonts w:ascii="Calibri" w:hAnsi="Calibri" w:cs="Calibri"/>
                <w:noProof/>
                <w:lang w:val="en-GB"/>
              </w:rPr>
              <w:t>Climate-related targets</w:t>
            </w:r>
            <w:r>
              <w:rPr>
                <w:noProof/>
                <w:webHidden/>
              </w:rPr>
              <w:tab/>
            </w:r>
            <w:r>
              <w:rPr>
                <w:noProof/>
                <w:webHidden/>
              </w:rPr>
              <w:fldChar w:fldCharType="begin"/>
            </w:r>
            <w:r>
              <w:rPr>
                <w:noProof/>
                <w:webHidden/>
              </w:rPr>
              <w:instrText xml:space="preserve"> PAGEREF _Toc171908192 \h </w:instrText>
            </w:r>
            <w:r>
              <w:rPr>
                <w:noProof/>
                <w:webHidden/>
              </w:rPr>
            </w:r>
            <w:r>
              <w:rPr>
                <w:noProof/>
                <w:webHidden/>
              </w:rPr>
              <w:fldChar w:fldCharType="separate"/>
            </w:r>
            <w:r w:rsidR="0096670A">
              <w:rPr>
                <w:noProof/>
                <w:webHidden/>
              </w:rPr>
              <w:t>32</w:t>
            </w:r>
            <w:r>
              <w:rPr>
                <w:noProof/>
                <w:webHidden/>
              </w:rPr>
              <w:fldChar w:fldCharType="end"/>
            </w:r>
          </w:hyperlink>
        </w:p>
        <w:p w14:paraId="60773A2E" w14:textId="08CDA4BE" w:rsidR="002D5971" w:rsidRDefault="002D5971">
          <w:pPr>
            <w:pStyle w:val="TOC1"/>
            <w:tabs>
              <w:tab w:val="left" w:pos="480"/>
              <w:tab w:val="right" w:leader="dot" w:pos="9204"/>
            </w:tabs>
            <w:rPr>
              <w:rFonts w:eastAsiaTheme="minorEastAsia" w:cstheme="minorBidi"/>
              <w:b w:val="0"/>
              <w:bCs w:val="0"/>
              <w:i w:val="0"/>
              <w:iCs w:val="0"/>
              <w:noProof/>
              <w:kern w:val="2"/>
              <w14:ligatures w14:val="standardContextual"/>
            </w:rPr>
          </w:pPr>
          <w:hyperlink w:anchor="_Toc171908193" w:history="1">
            <w:r w:rsidRPr="00A77E30">
              <w:rPr>
                <w:rStyle w:val="Hyperlink"/>
                <w:rFonts w:ascii="Calibri" w:hAnsi="Calibri" w:cs="Calibri"/>
                <w:noProof/>
              </w:rPr>
              <w:t>9.</w:t>
            </w:r>
            <w:r>
              <w:rPr>
                <w:rFonts w:eastAsiaTheme="minorEastAsia" w:cstheme="minorBidi"/>
                <w:b w:val="0"/>
                <w:bCs w:val="0"/>
                <w:i w:val="0"/>
                <w:iCs w:val="0"/>
                <w:noProof/>
                <w:kern w:val="2"/>
                <w14:ligatures w14:val="standardContextual"/>
              </w:rPr>
              <w:tab/>
            </w:r>
            <w:r w:rsidRPr="00A77E30">
              <w:rPr>
                <w:rStyle w:val="Hyperlink"/>
                <w:rFonts w:ascii="Calibri" w:hAnsi="Calibri" w:cs="Calibri"/>
                <w:noProof/>
              </w:rPr>
              <w:t>Implementation timeline</w:t>
            </w:r>
            <w:r>
              <w:rPr>
                <w:noProof/>
                <w:webHidden/>
              </w:rPr>
              <w:tab/>
            </w:r>
            <w:r>
              <w:rPr>
                <w:noProof/>
                <w:webHidden/>
              </w:rPr>
              <w:fldChar w:fldCharType="begin"/>
            </w:r>
            <w:r>
              <w:rPr>
                <w:noProof/>
                <w:webHidden/>
              </w:rPr>
              <w:instrText xml:space="preserve"> PAGEREF _Toc171908193 \h </w:instrText>
            </w:r>
            <w:r>
              <w:rPr>
                <w:noProof/>
                <w:webHidden/>
              </w:rPr>
            </w:r>
            <w:r>
              <w:rPr>
                <w:noProof/>
                <w:webHidden/>
              </w:rPr>
              <w:fldChar w:fldCharType="separate"/>
            </w:r>
            <w:r w:rsidR="0096670A">
              <w:rPr>
                <w:noProof/>
                <w:webHidden/>
              </w:rPr>
              <w:t>34</w:t>
            </w:r>
            <w:r>
              <w:rPr>
                <w:noProof/>
                <w:webHidden/>
              </w:rPr>
              <w:fldChar w:fldCharType="end"/>
            </w:r>
          </w:hyperlink>
        </w:p>
        <w:p w14:paraId="58FFE6CD" w14:textId="2D21006F" w:rsidR="002D5971" w:rsidRDefault="002D5971">
          <w:pPr>
            <w:pStyle w:val="TOC2"/>
            <w:tabs>
              <w:tab w:val="right" w:leader="dot" w:pos="9204"/>
            </w:tabs>
            <w:rPr>
              <w:rFonts w:eastAsiaTheme="minorEastAsia" w:cstheme="minorBidi"/>
              <w:b w:val="0"/>
              <w:bCs w:val="0"/>
              <w:noProof/>
              <w:kern w:val="2"/>
              <w:sz w:val="24"/>
              <w:szCs w:val="24"/>
              <w14:ligatures w14:val="standardContextual"/>
            </w:rPr>
          </w:pPr>
          <w:hyperlink w:anchor="_Toc171908194" w:history="1">
            <w:r w:rsidRPr="00A77E30">
              <w:rPr>
                <w:rStyle w:val="Hyperlink"/>
                <w:noProof/>
                <w:lang w:val="en-GB"/>
              </w:rPr>
              <w:t>Bibliography</w:t>
            </w:r>
            <w:r>
              <w:rPr>
                <w:noProof/>
                <w:webHidden/>
              </w:rPr>
              <w:tab/>
            </w:r>
            <w:r>
              <w:rPr>
                <w:noProof/>
                <w:webHidden/>
              </w:rPr>
              <w:fldChar w:fldCharType="begin"/>
            </w:r>
            <w:r>
              <w:rPr>
                <w:noProof/>
                <w:webHidden/>
              </w:rPr>
              <w:instrText xml:space="preserve"> PAGEREF _Toc171908194 \h </w:instrText>
            </w:r>
            <w:r>
              <w:rPr>
                <w:noProof/>
                <w:webHidden/>
              </w:rPr>
            </w:r>
            <w:r>
              <w:rPr>
                <w:noProof/>
                <w:webHidden/>
              </w:rPr>
              <w:fldChar w:fldCharType="separate"/>
            </w:r>
            <w:r w:rsidR="0096670A">
              <w:rPr>
                <w:noProof/>
                <w:webHidden/>
              </w:rPr>
              <w:t>35</w:t>
            </w:r>
            <w:r>
              <w:rPr>
                <w:noProof/>
                <w:webHidden/>
              </w:rPr>
              <w:fldChar w:fldCharType="end"/>
            </w:r>
          </w:hyperlink>
        </w:p>
        <w:p w14:paraId="1C2FBDC6" w14:textId="6C463C7B" w:rsidR="00B720D9" w:rsidRPr="003C4F95" w:rsidRDefault="00B720D9">
          <w:pPr>
            <w:rPr>
              <w:rFonts w:ascii="Calibri" w:hAnsi="Calibri" w:cs="Calibri"/>
            </w:rPr>
          </w:pPr>
          <w:r w:rsidRPr="00647D87">
            <w:rPr>
              <w:rFonts w:ascii="Calibri" w:hAnsi="Calibri" w:cs="Calibri"/>
              <w:b/>
              <w:bCs/>
              <w:noProof/>
            </w:rPr>
            <w:fldChar w:fldCharType="end"/>
          </w:r>
        </w:p>
      </w:sdtContent>
    </w:sdt>
    <w:p w14:paraId="20ED5431" w14:textId="2B3EBE43" w:rsidR="009F5B6E" w:rsidRPr="00877447" w:rsidRDefault="00BE32C1" w:rsidP="00616282">
      <w:pPr>
        <w:rPr>
          <w:rFonts w:ascii="Calibri" w:hAnsi="Calibri" w:cs="Calibri"/>
          <w:b/>
          <w:bCs/>
          <w:lang w:val="en-GB"/>
        </w:rPr>
      </w:pPr>
      <w:bookmarkStart w:id="1" w:name="_Toc167079472"/>
      <w:r w:rsidRPr="00877447">
        <w:rPr>
          <w:rFonts w:ascii="Calibri" w:hAnsi="Calibri" w:cs="Calibri"/>
          <w:b/>
          <w:bCs/>
          <w:lang w:val="en-GB"/>
        </w:rPr>
        <w:t>List of Tables</w:t>
      </w:r>
      <w:bookmarkEnd w:id="0"/>
      <w:bookmarkEnd w:id="1"/>
    </w:p>
    <w:p w14:paraId="5CAF47FE" w14:textId="77777777" w:rsidR="00BE32C1" w:rsidRPr="0008057D" w:rsidRDefault="00BE32C1" w:rsidP="00616282">
      <w:pPr>
        <w:rPr>
          <w:rFonts w:asciiTheme="minorHAnsi" w:hAnsiTheme="minorHAnsi" w:cstheme="minorHAnsi"/>
          <w:lang w:val="en-GB"/>
        </w:rPr>
      </w:pPr>
    </w:p>
    <w:p w14:paraId="08BE723A" w14:textId="7A0B0953" w:rsidR="002D5971" w:rsidRPr="0008057D" w:rsidRDefault="006C78A6">
      <w:pPr>
        <w:pStyle w:val="TableofFigures"/>
        <w:tabs>
          <w:tab w:val="right" w:leader="dot" w:pos="9204"/>
        </w:tabs>
        <w:rPr>
          <w:rFonts w:asciiTheme="minorHAnsi" w:eastAsiaTheme="minorEastAsia" w:hAnsiTheme="minorHAnsi" w:cstheme="minorHAnsi"/>
          <w:noProof/>
          <w:kern w:val="2"/>
          <w:sz w:val="22"/>
          <w:szCs w:val="22"/>
          <w14:ligatures w14:val="standardContextual"/>
        </w:rPr>
      </w:pPr>
      <w:r w:rsidRPr="0008057D">
        <w:rPr>
          <w:rFonts w:asciiTheme="minorHAnsi" w:hAnsiTheme="minorHAnsi" w:cstheme="minorHAnsi"/>
          <w:sz w:val="22"/>
          <w:szCs w:val="22"/>
          <w:lang w:val="en-GB"/>
        </w:rPr>
        <w:fldChar w:fldCharType="begin"/>
      </w:r>
      <w:r w:rsidRPr="0008057D">
        <w:rPr>
          <w:rFonts w:asciiTheme="minorHAnsi" w:hAnsiTheme="minorHAnsi" w:cstheme="minorHAnsi"/>
          <w:sz w:val="22"/>
          <w:szCs w:val="22"/>
          <w:lang w:val="en-GB"/>
        </w:rPr>
        <w:instrText xml:space="preserve"> TOC \h \z \c "Table" </w:instrText>
      </w:r>
      <w:r w:rsidRPr="0008057D">
        <w:rPr>
          <w:rFonts w:asciiTheme="minorHAnsi" w:hAnsiTheme="minorHAnsi" w:cstheme="minorHAnsi"/>
          <w:sz w:val="22"/>
          <w:szCs w:val="22"/>
          <w:lang w:val="en-GB"/>
        </w:rPr>
        <w:fldChar w:fldCharType="separate"/>
      </w:r>
      <w:hyperlink w:anchor="_Toc171908195" w:history="1">
        <w:r w:rsidR="002D5971" w:rsidRPr="0008057D">
          <w:rPr>
            <w:rStyle w:val="Hyperlink"/>
            <w:rFonts w:asciiTheme="minorHAnsi" w:hAnsiTheme="minorHAnsi" w:cstheme="minorHAnsi"/>
            <w:noProof/>
            <w:sz w:val="22"/>
            <w:szCs w:val="22"/>
            <w:lang w:val="en-GB"/>
          </w:rPr>
          <w:t>Table 1: Physical Risk Exposure Reporting Template Part A</w:t>
        </w:r>
        <w:r w:rsidR="002D5971" w:rsidRPr="0008057D">
          <w:rPr>
            <w:rFonts w:asciiTheme="minorHAnsi" w:hAnsiTheme="minorHAnsi" w:cstheme="minorHAnsi"/>
            <w:noProof/>
            <w:webHidden/>
            <w:sz w:val="22"/>
            <w:szCs w:val="22"/>
          </w:rPr>
          <w:tab/>
        </w:r>
        <w:r w:rsidR="002D5971" w:rsidRPr="0008057D">
          <w:rPr>
            <w:rFonts w:asciiTheme="minorHAnsi" w:hAnsiTheme="minorHAnsi" w:cstheme="minorHAnsi"/>
            <w:noProof/>
            <w:webHidden/>
            <w:sz w:val="22"/>
            <w:szCs w:val="22"/>
          </w:rPr>
          <w:fldChar w:fldCharType="begin"/>
        </w:r>
        <w:r w:rsidR="002D5971" w:rsidRPr="0008057D">
          <w:rPr>
            <w:rFonts w:asciiTheme="minorHAnsi" w:hAnsiTheme="minorHAnsi" w:cstheme="minorHAnsi"/>
            <w:noProof/>
            <w:webHidden/>
            <w:sz w:val="22"/>
            <w:szCs w:val="22"/>
          </w:rPr>
          <w:instrText xml:space="preserve"> PAGEREF _Toc171908195 \h </w:instrText>
        </w:r>
        <w:r w:rsidR="002D5971" w:rsidRPr="0008057D">
          <w:rPr>
            <w:rFonts w:asciiTheme="minorHAnsi" w:hAnsiTheme="minorHAnsi" w:cstheme="minorHAnsi"/>
            <w:noProof/>
            <w:webHidden/>
            <w:sz w:val="22"/>
            <w:szCs w:val="22"/>
          </w:rPr>
        </w:r>
        <w:r w:rsidR="002D5971" w:rsidRPr="0008057D">
          <w:rPr>
            <w:rFonts w:asciiTheme="minorHAnsi" w:hAnsiTheme="minorHAnsi" w:cstheme="minorHAnsi"/>
            <w:noProof/>
            <w:webHidden/>
            <w:sz w:val="22"/>
            <w:szCs w:val="22"/>
          </w:rPr>
          <w:fldChar w:fldCharType="separate"/>
        </w:r>
        <w:r w:rsidR="0096670A">
          <w:rPr>
            <w:rFonts w:asciiTheme="minorHAnsi" w:hAnsiTheme="minorHAnsi" w:cstheme="minorHAnsi"/>
            <w:noProof/>
            <w:webHidden/>
            <w:sz w:val="22"/>
            <w:szCs w:val="22"/>
          </w:rPr>
          <w:t>11</w:t>
        </w:r>
        <w:r w:rsidR="002D5971" w:rsidRPr="0008057D">
          <w:rPr>
            <w:rFonts w:asciiTheme="minorHAnsi" w:hAnsiTheme="minorHAnsi" w:cstheme="minorHAnsi"/>
            <w:noProof/>
            <w:webHidden/>
            <w:sz w:val="22"/>
            <w:szCs w:val="22"/>
          </w:rPr>
          <w:fldChar w:fldCharType="end"/>
        </w:r>
      </w:hyperlink>
    </w:p>
    <w:p w14:paraId="0D30CF26" w14:textId="6A022466" w:rsidR="002D5971" w:rsidRPr="0008057D" w:rsidRDefault="002D5971">
      <w:pPr>
        <w:pStyle w:val="TableofFigures"/>
        <w:tabs>
          <w:tab w:val="right" w:leader="dot" w:pos="9204"/>
        </w:tabs>
        <w:rPr>
          <w:rFonts w:asciiTheme="minorHAnsi" w:eastAsiaTheme="minorEastAsia" w:hAnsiTheme="minorHAnsi" w:cstheme="minorHAnsi"/>
          <w:noProof/>
          <w:kern w:val="2"/>
          <w:sz w:val="22"/>
          <w:szCs w:val="22"/>
          <w14:ligatures w14:val="standardContextual"/>
        </w:rPr>
      </w:pPr>
      <w:hyperlink w:anchor="_Toc171908196" w:history="1">
        <w:r w:rsidRPr="0008057D">
          <w:rPr>
            <w:rStyle w:val="Hyperlink"/>
            <w:rFonts w:asciiTheme="minorHAnsi" w:hAnsiTheme="minorHAnsi" w:cstheme="minorHAnsi"/>
            <w:noProof/>
            <w:sz w:val="22"/>
            <w:szCs w:val="22"/>
            <w:lang w:val="en-GB"/>
          </w:rPr>
          <w:t>Table 2: Physical Risk Exposure Reporting Template Part B</w:t>
        </w:r>
        <w:r w:rsidRPr="0008057D">
          <w:rPr>
            <w:rFonts w:asciiTheme="minorHAnsi" w:hAnsiTheme="minorHAnsi" w:cstheme="minorHAnsi"/>
            <w:noProof/>
            <w:webHidden/>
            <w:sz w:val="22"/>
            <w:szCs w:val="22"/>
          </w:rPr>
          <w:tab/>
        </w:r>
        <w:r w:rsidRPr="0008057D">
          <w:rPr>
            <w:rFonts w:asciiTheme="minorHAnsi" w:hAnsiTheme="minorHAnsi" w:cstheme="minorHAnsi"/>
            <w:noProof/>
            <w:webHidden/>
            <w:sz w:val="22"/>
            <w:szCs w:val="22"/>
          </w:rPr>
          <w:fldChar w:fldCharType="begin"/>
        </w:r>
        <w:r w:rsidRPr="0008057D">
          <w:rPr>
            <w:rFonts w:asciiTheme="minorHAnsi" w:hAnsiTheme="minorHAnsi" w:cstheme="minorHAnsi"/>
            <w:noProof/>
            <w:webHidden/>
            <w:sz w:val="22"/>
            <w:szCs w:val="22"/>
          </w:rPr>
          <w:instrText xml:space="preserve"> PAGEREF _Toc171908196 \h </w:instrText>
        </w:r>
        <w:r w:rsidRPr="0008057D">
          <w:rPr>
            <w:rFonts w:asciiTheme="minorHAnsi" w:hAnsiTheme="minorHAnsi" w:cstheme="minorHAnsi"/>
            <w:noProof/>
            <w:webHidden/>
            <w:sz w:val="22"/>
            <w:szCs w:val="22"/>
          </w:rPr>
        </w:r>
        <w:r w:rsidRPr="0008057D">
          <w:rPr>
            <w:rFonts w:asciiTheme="minorHAnsi" w:hAnsiTheme="minorHAnsi" w:cstheme="minorHAnsi"/>
            <w:noProof/>
            <w:webHidden/>
            <w:sz w:val="22"/>
            <w:szCs w:val="22"/>
          </w:rPr>
          <w:fldChar w:fldCharType="separate"/>
        </w:r>
        <w:r w:rsidR="0096670A">
          <w:rPr>
            <w:rFonts w:asciiTheme="minorHAnsi" w:hAnsiTheme="minorHAnsi" w:cstheme="minorHAnsi"/>
            <w:noProof/>
            <w:webHidden/>
            <w:sz w:val="22"/>
            <w:szCs w:val="22"/>
          </w:rPr>
          <w:t>11</w:t>
        </w:r>
        <w:r w:rsidRPr="0008057D">
          <w:rPr>
            <w:rFonts w:asciiTheme="minorHAnsi" w:hAnsiTheme="minorHAnsi" w:cstheme="minorHAnsi"/>
            <w:noProof/>
            <w:webHidden/>
            <w:sz w:val="22"/>
            <w:szCs w:val="22"/>
          </w:rPr>
          <w:fldChar w:fldCharType="end"/>
        </w:r>
      </w:hyperlink>
    </w:p>
    <w:p w14:paraId="2487A180" w14:textId="532DA1E1" w:rsidR="002D5971" w:rsidRPr="0008057D" w:rsidRDefault="002D5971">
      <w:pPr>
        <w:pStyle w:val="TableofFigures"/>
        <w:tabs>
          <w:tab w:val="right" w:leader="dot" w:pos="9204"/>
        </w:tabs>
        <w:rPr>
          <w:rFonts w:asciiTheme="minorHAnsi" w:eastAsiaTheme="minorEastAsia" w:hAnsiTheme="minorHAnsi" w:cstheme="minorHAnsi"/>
          <w:noProof/>
          <w:kern w:val="2"/>
          <w:sz w:val="22"/>
          <w:szCs w:val="22"/>
          <w14:ligatures w14:val="standardContextual"/>
        </w:rPr>
      </w:pPr>
      <w:hyperlink w:anchor="_Toc171908197" w:history="1">
        <w:r w:rsidRPr="0008057D">
          <w:rPr>
            <w:rStyle w:val="Hyperlink"/>
            <w:rFonts w:asciiTheme="minorHAnsi" w:hAnsiTheme="minorHAnsi" w:cstheme="minorHAnsi"/>
            <w:noProof/>
            <w:sz w:val="22"/>
            <w:szCs w:val="22"/>
            <w:lang w:val="en-GB"/>
          </w:rPr>
          <w:t>Table 3: Tool for the identification of hazards by county and risk level scores</w:t>
        </w:r>
        <w:r w:rsidRPr="0008057D">
          <w:rPr>
            <w:rFonts w:asciiTheme="minorHAnsi" w:hAnsiTheme="minorHAnsi" w:cstheme="minorHAnsi"/>
            <w:noProof/>
            <w:webHidden/>
            <w:sz w:val="22"/>
            <w:szCs w:val="22"/>
          </w:rPr>
          <w:tab/>
        </w:r>
        <w:r w:rsidRPr="0008057D">
          <w:rPr>
            <w:rFonts w:asciiTheme="minorHAnsi" w:hAnsiTheme="minorHAnsi" w:cstheme="minorHAnsi"/>
            <w:noProof/>
            <w:webHidden/>
            <w:sz w:val="22"/>
            <w:szCs w:val="22"/>
          </w:rPr>
          <w:fldChar w:fldCharType="begin"/>
        </w:r>
        <w:r w:rsidRPr="0008057D">
          <w:rPr>
            <w:rFonts w:asciiTheme="minorHAnsi" w:hAnsiTheme="minorHAnsi" w:cstheme="minorHAnsi"/>
            <w:noProof/>
            <w:webHidden/>
            <w:sz w:val="22"/>
            <w:szCs w:val="22"/>
          </w:rPr>
          <w:instrText xml:space="preserve"> PAGEREF _Toc171908197 \h </w:instrText>
        </w:r>
        <w:r w:rsidRPr="0008057D">
          <w:rPr>
            <w:rFonts w:asciiTheme="minorHAnsi" w:hAnsiTheme="minorHAnsi" w:cstheme="minorHAnsi"/>
            <w:noProof/>
            <w:webHidden/>
            <w:sz w:val="22"/>
            <w:szCs w:val="22"/>
          </w:rPr>
        </w:r>
        <w:r w:rsidRPr="0008057D">
          <w:rPr>
            <w:rFonts w:asciiTheme="minorHAnsi" w:hAnsiTheme="minorHAnsi" w:cstheme="minorHAnsi"/>
            <w:noProof/>
            <w:webHidden/>
            <w:sz w:val="22"/>
            <w:szCs w:val="22"/>
          </w:rPr>
          <w:fldChar w:fldCharType="separate"/>
        </w:r>
        <w:r w:rsidR="0096670A">
          <w:rPr>
            <w:rFonts w:asciiTheme="minorHAnsi" w:hAnsiTheme="minorHAnsi" w:cstheme="minorHAnsi"/>
            <w:noProof/>
            <w:webHidden/>
            <w:sz w:val="22"/>
            <w:szCs w:val="22"/>
          </w:rPr>
          <w:t>12</w:t>
        </w:r>
        <w:r w:rsidRPr="0008057D">
          <w:rPr>
            <w:rFonts w:asciiTheme="minorHAnsi" w:hAnsiTheme="minorHAnsi" w:cstheme="minorHAnsi"/>
            <w:noProof/>
            <w:webHidden/>
            <w:sz w:val="22"/>
            <w:szCs w:val="22"/>
          </w:rPr>
          <w:fldChar w:fldCharType="end"/>
        </w:r>
      </w:hyperlink>
    </w:p>
    <w:p w14:paraId="024B63ED" w14:textId="0626A8B2" w:rsidR="002D5971" w:rsidRPr="0008057D" w:rsidRDefault="002D5971">
      <w:pPr>
        <w:pStyle w:val="TableofFigures"/>
        <w:tabs>
          <w:tab w:val="right" w:leader="dot" w:pos="9204"/>
        </w:tabs>
        <w:rPr>
          <w:rFonts w:asciiTheme="minorHAnsi" w:eastAsiaTheme="minorEastAsia" w:hAnsiTheme="minorHAnsi" w:cstheme="minorHAnsi"/>
          <w:noProof/>
          <w:kern w:val="2"/>
          <w:sz w:val="22"/>
          <w:szCs w:val="22"/>
          <w14:ligatures w14:val="standardContextual"/>
        </w:rPr>
      </w:pPr>
      <w:hyperlink w:anchor="_Toc171908198" w:history="1">
        <w:r w:rsidRPr="0008057D">
          <w:rPr>
            <w:rStyle w:val="Hyperlink"/>
            <w:rFonts w:asciiTheme="minorHAnsi" w:hAnsiTheme="minorHAnsi" w:cstheme="minorHAnsi"/>
            <w:noProof/>
            <w:sz w:val="22"/>
            <w:szCs w:val="22"/>
            <w:lang w:val="en-GB"/>
          </w:rPr>
          <w:t>Table 4: Transition Risk Exposure Reporting Template Part A</w:t>
        </w:r>
        <w:r w:rsidRPr="0008057D">
          <w:rPr>
            <w:rFonts w:asciiTheme="minorHAnsi" w:hAnsiTheme="minorHAnsi" w:cstheme="minorHAnsi"/>
            <w:noProof/>
            <w:webHidden/>
            <w:sz w:val="22"/>
            <w:szCs w:val="22"/>
          </w:rPr>
          <w:tab/>
        </w:r>
        <w:r w:rsidRPr="0008057D">
          <w:rPr>
            <w:rFonts w:asciiTheme="minorHAnsi" w:hAnsiTheme="minorHAnsi" w:cstheme="minorHAnsi"/>
            <w:noProof/>
            <w:webHidden/>
            <w:sz w:val="22"/>
            <w:szCs w:val="22"/>
          </w:rPr>
          <w:fldChar w:fldCharType="begin"/>
        </w:r>
        <w:r w:rsidRPr="0008057D">
          <w:rPr>
            <w:rFonts w:asciiTheme="minorHAnsi" w:hAnsiTheme="minorHAnsi" w:cstheme="minorHAnsi"/>
            <w:noProof/>
            <w:webHidden/>
            <w:sz w:val="22"/>
            <w:szCs w:val="22"/>
          </w:rPr>
          <w:instrText xml:space="preserve"> PAGEREF _Toc171908198 \h </w:instrText>
        </w:r>
        <w:r w:rsidRPr="0008057D">
          <w:rPr>
            <w:rFonts w:asciiTheme="minorHAnsi" w:hAnsiTheme="minorHAnsi" w:cstheme="minorHAnsi"/>
            <w:noProof/>
            <w:webHidden/>
            <w:sz w:val="22"/>
            <w:szCs w:val="22"/>
          </w:rPr>
        </w:r>
        <w:r w:rsidRPr="0008057D">
          <w:rPr>
            <w:rFonts w:asciiTheme="minorHAnsi" w:hAnsiTheme="minorHAnsi" w:cstheme="minorHAnsi"/>
            <w:noProof/>
            <w:webHidden/>
            <w:sz w:val="22"/>
            <w:szCs w:val="22"/>
          </w:rPr>
          <w:fldChar w:fldCharType="separate"/>
        </w:r>
        <w:r w:rsidR="0096670A">
          <w:rPr>
            <w:rFonts w:asciiTheme="minorHAnsi" w:hAnsiTheme="minorHAnsi" w:cstheme="minorHAnsi"/>
            <w:noProof/>
            <w:webHidden/>
            <w:sz w:val="22"/>
            <w:szCs w:val="22"/>
          </w:rPr>
          <w:t>13</w:t>
        </w:r>
        <w:r w:rsidRPr="0008057D">
          <w:rPr>
            <w:rFonts w:asciiTheme="minorHAnsi" w:hAnsiTheme="minorHAnsi" w:cstheme="minorHAnsi"/>
            <w:noProof/>
            <w:webHidden/>
            <w:sz w:val="22"/>
            <w:szCs w:val="22"/>
          </w:rPr>
          <w:fldChar w:fldCharType="end"/>
        </w:r>
      </w:hyperlink>
    </w:p>
    <w:p w14:paraId="214525F5" w14:textId="05F98AA7" w:rsidR="002D5971" w:rsidRPr="0008057D" w:rsidRDefault="002D5971">
      <w:pPr>
        <w:pStyle w:val="TableofFigures"/>
        <w:tabs>
          <w:tab w:val="right" w:leader="dot" w:pos="9204"/>
        </w:tabs>
        <w:rPr>
          <w:rFonts w:asciiTheme="minorHAnsi" w:eastAsiaTheme="minorEastAsia" w:hAnsiTheme="minorHAnsi" w:cstheme="minorHAnsi"/>
          <w:noProof/>
          <w:kern w:val="2"/>
          <w:sz w:val="22"/>
          <w:szCs w:val="22"/>
          <w14:ligatures w14:val="standardContextual"/>
        </w:rPr>
      </w:pPr>
      <w:hyperlink w:anchor="_Toc171908199" w:history="1">
        <w:r w:rsidRPr="0008057D">
          <w:rPr>
            <w:rStyle w:val="Hyperlink"/>
            <w:rFonts w:asciiTheme="minorHAnsi" w:hAnsiTheme="minorHAnsi" w:cstheme="minorHAnsi"/>
            <w:noProof/>
            <w:sz w:val="22"/>
            <w:szCs w:val="22"/>
            <w:lang w:val="en-GB"/>
          </w:rPr>
          <w:t>Table 5: Transition Risk Exposure Reporting Template Part B</w:t>
        </w:r>
        <w:r w:rsidRPr="0008057D">
          <w:rPr>
            <w:rFonts w:asciiTheme="minorHAnsi" w:hAnsiTheme="minorHAnsi" w:cstheme="minorHAnsi"/>
            <w:noProof/>
            <w:webHidden/>
            <w:sz w:val="22"/>
            <w:szCs w:val="22"/>
          </w:rPr>
          <w:tab/>
        </w:r>
        <w:r w:rsidRPr="0008057D">
          <w:rPr>
            <w:rFonts w:asciiTheme="minorHAnsi" w:hAnsiTheme="minorHAnsi" w:cstheme="minorHAnsi"/>
            <w:noProof/>
            <w:webHidden/>
            <w:sz w:val="22"/>
            <w:szCs w:val="22"/>
          </w:rPr>
          <w:fldChar w:fldCharType="begin"/>
        </w:r>
        <w:r w:rsidRPr="0008057D">
          <w:rPr>
            <w:rFonts w:asciiTheme="minorHAnsi" w:hAnsiTheme="minorHAnsi" w:cstheme="minorHAnsi"/>
            <w:noProof/>
            <w:webHidden/>
            <w:sz w:val="22"/>
            <w:szCs w:val="22"/>
          </w:rPr>
          <w:instrText xml:space="preserve"> PAGEREF _Toc171908199 \h </w:instrText>
        </w:r>
        <w:r w:rsidRPr="0008057D">
          <w:rPr>
            <w:rFonts w:asciiTheme="minorHAnsi" w:hAnsiTheme="minorHAnsi" w:cstheme="minorHAnsi"/>
            <w:noProof/>
            <w:webHidden/>
            <w:sz w:val="22"/>
            <w:szCs w:val="22"/>
          </w:rPr>
        </w:r>
        <w:r w:rsidRPr="0008057D">
          <w:rPr>
            <w:rFonts w:asciiTheme="minorHAnsi" w:hAnsiTheme="minorHAnsi" w:cstheme="minorHAnsi"/>
            <w:noProof/>
            <w:webHidden/>
            <w:sz w:val="22"/>
            <w:szCs w:val="22"/>
          </w:rPr>
          <w:fldChar w:fldCharType="separate"/>
        </w:r>
        <w:r w:rsidR="0096670A">
          <w:rPr>
            <w:rFonts w:asciiTheme="minorHAnsi" w:hAnsiTheme="minorHAnsi" w:cstheme="minorHAnsi"/>
            <w:noProof/>
            <w:webHidden/>
            <w:sz w:val="22"/>
            <w:szCs w:val="22"/>
          </w:rPr>
          <w:t>14</w:t>
        </w:r>
        <w:r w:rsidRPr="0008057D">
          <w:rPr>
            <w:rFonts w:asciiTheme="minorHAnsi" w:hAnsiTheme="minorHAnsi" w:cstheme="minorHAnsi"/>
            <w:noProof/>
            <w:webHidden/>
            <w:sz w:val="22"/>
            <w:szCs w:val="22"/>
          </w:rPr>
          <w:fldChar w:fldCharType="end"/>
        </w:r>
      </w:hyperlink>
    </w:p>
    <w:p w14:paraId="74CDFDF2" w14:textId="727491A5" w:rsidR="002D5971" w:rsidRPr="0008057D" w:rsidRDefault="002D5971">
      <w:pPr>
        <w:pStyle w:val="TableofFigures"/>
        <w:tabs>
          <w:tab w:val="right" w:leader="dot" w:pos="9204"/>
        </w:tabs>
        <w:rPr>
          <w:rFonts w:asciiTheme="minorHAnsi" w:eastAsiaTheme="minorEastAsia" w:hAnsiTheme="minorHAnsi" w:cstheme="minorHAnsi"/>
          <w:noProof/>
          <w:kern w:val="2"/>
          <w:sz w:val="22"/>
          <w:szCs w:val="22"/>
          <w14:ligatures w14:val="standardContextual"/>
        </w:rPr>
      </w:pPr>
      <w:hyperlink w:anchor="_Toc171908200" w:history="1">
        <w:r w:rsidRPr="0008057D">
          <w:rPr>
            <w:rStyle w:val="Hyperlink"/>
            <w:rFonts w:asciiTheme="minorHAnsi" w:hAnsiTheme="minorHAnsi" w:cstheme="minorHAnsi"/>
            <w:noProof/>
            <w:sz w:val="22"/>
            <w:szCs w:val="22"/>
            <w:lang w:val="en-GB"/>
          </w:rPr>
          <w:t>Table 6: Transition Risk Exposure Reporting Template Part C</w:t>
        </w:r>
        <w:r w:rsidRPr="0008057D">
          <w:rPr>
            <w:rFonts w:asciiTheme="minorHAnsi" w:hAnsiTheme="minorHAnsi" w:cstheme="minorHAnsi"/>
            <w:noProof/>
            <w:webHidden/>
            <w:sz w:val="22"/>
            <w:szCs w:val="22"/>
          </w:rPr>
          <w:tab/>
        </w:r>
        <w:r w:rsidRPr="0008057D">
          <w:rPr>
            <w:rFonts w:asciiTheme="minorHAnsi" w:hAnsiTheme="minorHAnsi" w:cstheme="minorHAnsi"/>
            <w:noProof/>
            <w:webHidden/>
            <w:sz w:val="22"/>
            <w:szCs w:val="22"/>
          </w:rPr>
          <w:fldChar w:fldCharType="begin"/>
        </w:r>
        <w:r w:rsidRPr="0008057D">
          <w:rPr>
            <w:rFonts w:asciiTheme="minorHAnsi" w:hAnsiTheme="minorHAnsi" w:cstheme="minorHAnsi"/>
            <w:noProof/>
            <w:webHidden/>
            <w:sz w:val="22"/>
            <w:szCs w:val="22"/>
          </w:rPr>
          <w:instrText xml:space="preserve"> PAGEREF _Toc171908200 \h </w:instrText>
        </w:r>
        <w:r w:rsidRPr="0008057D">
          <w:rPr>
            <w:rFonts w:asciiTheme="minorHAnsi" w:hAnsiTheme="minorHAnsi" w:cstheme="minorHAnsi"/>
            <w:noProof/>
            <w:webHidden/>
            <w:sz w:val="22"/>
            <w:szCs w:val="22"/>
          </w:rPr>
        </w:r>
        <w:r w:rsidRPr="0008057D">
          <w:rPr>
            <w:rFonts w:asciiTheme="minorHAnsi" w:hAnsiTheme="minorHAnsi" w:cstheme="minorHAnsi"/>
            <w:noProof/>
            <w:webHidden/>
            <w:sz w:val="22"/>
            <w:szCs w:val="22"/>
          </w:rPr>
          <w:fldChar w:fldCharType="separate"/>
        </w:r>
        <w:r w:rsidR="0096670A">
          <w:rPr>
            <w:rFonts w:asciiTheme="minorHAnsi" w:hAnsiTheme="minorHAnsi" w:cstheme="minorHAnsi"/>
            <w:noProof/>
            <w:webHidden/>
            <w:sz w:val="22"/>
            <w:szCs w:val="22"/>
          </w:rPr>
          <w:t>14</w:t>
        </w:r>
        <w:r w:rsidRPr="0008057D">
          <w:rPr>
            <w:rFonts w:asciiTheme="minorHAnsi" w:hAnsiTheme="minorHAnsi" w:cstheme="minorHAnsi"/>
            <w:noProof/>
            <w:webHidden/>
            <w:sz w:val="22"/>
            <w:szCs w:val="22"/>
          </w:rPr>
          <w:fldChar w:fldCharType="end"/>
        </w:r>
      </w:hyperlink>
    </w:p>
    <w:p w14:paraId="1D942ADF" w14:textId="2D68C304" w:rsidR="002D5971" w:rsidRPr="0008057D" w:rsidRDefault="002D5971">
      <w:pPr>
        <w:pStyle w:val="TableofFigures"/>
        <w:tabs>
          <w:tab w:val="right" w:leader="dot" w:pos="9204"/>
        </w:tabs>
        <w:rPr>
          <w:rFonts w:asciiTheme="minorHAnsi" w:eastAsiaTheme="minorEastAsia" w:hAnsiTheme="minorHAnsi" w:cstheme="minorHAnsi"/>
          <w:noProof/>
          <w:kern w:val="2"/>
          <w:sz w:val="22"/>
          <w:szCs w:val="22"/>
          <w14:ligatures w14:val="standardContextual"/>
        </w:rPr>
      </w:pPr>
      <w:hyperlink w:anchor="_Toc171908201" w:history="1">
        <w:r w:rsidRPr="0008057D">
          <w:rPr>
            <w:rStyle w:val="Hyperlink"/>
            <w:rFonts w:asciiTheme="minorHAnsi" w:hAnsiTheme="minorHAnsi" w:cstheme="minorHAnsi"/>
            <w:noProof/>
            <w:sz w:val="22"/>
            <w:szCs w:val="22"/>
            <w:lang w:val="en-GB"/>
          </w:rPr>
          <w:t>Table 7. Linking CBK, IFRS and BCBS expectations on governance</w:t>
        </w:r>
        <w:r w:rsidRPr="0008057D">
          <w:rPr>
            <w:rFonts w:asciiTheme="minorHAnsi" w:hAnsiTheme="minorHAnsi" w:cstheme="minorHAnsi"/>
            <w:noProof/>
            <w:webHidden/>
            <w:sz w:val="22"/>
            <w:szCs w:val="22"/>
          </w:rPr>
          <w:tab/>
        </w:r>
        <w:r w:rsidRPr="0008057D">
          <w:rPr>
            <w:rFonts w:asciiTheme="minorHAnsi" w:hAnsiTheme="minorHAnsi" w:cstheme="minorHAnsi"/>
            <w:noProof/>
            <w:webHidden/>
            <w:sz w:val="22"/>
            <w:szCs w:val="22"/>
          </w:rPr>
          <w:fldChar w:fldCharType="begin"/>
        </w:r>
        <w:r w:rsidRPr="0008057D">
          <w:rPr>
            <w:rFonts w:asciiTheme="minorHAnsi" w:hAnsiTheme="minorHAnsi" w:cstheme="minorHAnsi"/>
            <w:noProof/>
            <w:webHidden/>
            <w:sz w:val="22"/>
            <w:szCs w:val="22"/>
          </w:rPr>
          <w:instrText xml:space="preserve"> PAGEREF _Toc171908201 \h </w:instrText>
        </w:r>
        <w:r w:rsidRPr="0008057D">
          <w:rPr>
            <w:rFonts w:asciiTheme="minorHAnsi" w:hAnsiTheme="minorHAnsi" w:cstheme="minorHAnsi"/>
            <w:noProof/>
            <w:webHidden/>
            <w:sz w:val="22"/>
            <w:szCs w:val="22"/>
          </w:rPr>
        </w:r>
        <w:r w:rsidRPr="0008057D">
          <w:rPr>
            <w:rFonts w:asciiTheme="minorHAnsi" w:hAnsiTheme="minorHAnsi" w:cstheme="minorHAnsi"/>
            <w:noProof/>
            <w:webHidden/>
            <w:sz w:val="22"/>
            <w:szCs w:val="22"/>
          </w:rPr>
          <w:fldChar w:fldCharType="separate"/>
        </w:r>
        <w:r w:rsidR="0096670A">
          <w:rPr>
            <w:rFonts w:asciiTheme="minorHAnsi" w:hAnsiTheme="minorHAnsi" w:cstheme="minorHAnsi"/>
            <w:noProof/>
            <w:webHidden/>
            <w:sz w:val="22"/>
            <w:szCs w:val="22"/>
          </w:rPr>
          <w:t>15</w:t>
        </w:r>
        <w:r w:rsidRPr="0008057D">
          <w:rPr>
            <w:rFonts w:asciiTheme="minorHAnsi" w:hAnsiTheme="minorHAnsi" w:cstheme="minorHAnsi"/>
            <w:noProof/>
            <w:webHidden/>
            <w:sz w:val="22"/>
            <w:szCs w:val="22"/>
          </w:rPr>
          <w:fldChar w:fldCharType="end"/>
        </w:r>
      </w:hyperlink>
    </w:p>
    <w:p w14:paraId="583D6D86" w14:textId="698CF931" w:rsidR="002D5971" w:rsidRPr="0008057D" w:rsidRDefault="002D5971">
      <w:pPr>
        <w:pStyle w:val="TableofFigures"/>
        <w:tabs>
          <w:tab w:val="right" w:leader="dot" w:pos="9204"/>
        </w:tabs>
        <w:rPr>
          <w:rFonts w:asciiTheme="minorHAnsi" w:eastAsiaTheme="minorEastAsia" w:hAnsiTheme="minorHAnsi" w:cstheme="minorHAnsi"/>
          <w:noProof/>
          <w:kern w:val="2"/>
          <w:sz w:val="22"/>
          <w:szCs w:val="22"/>
          <w14:ligatures w14:val="standardContextual"/>
        </w:rPr>
      </w:pPr>
      <w:hyperlink w:anchor="_Toc171908202" w:history="1">
        <w:r w:rsidRPr="0008057D">
          <w:rPr>
            <w:rStyle w:val="Hyperlink"/>
            <w:rFonts w:asciiTheme="minorHAnsi" w:hAnsiTheme="minorHAnsi" w:cstheme="minorHAnsi"/>
            <w:noProof/>
            <w:sz w:val="22"/>
            <w:szCs w:val="22"/>
            <w:lang w:val="en-GB"/>
          </w:rPr>
          <w:t>Table 8. Adopting climate risk in the governance of financial institutions</w:t>
        </w:r>
        <w:r w:rsidRPr="0008057D">
          <w:rPr>
            <w:rFonts w:asciiTheme="minorHAnsi" w:hAnsiTheme="minorHAnsi" w:cstheme="minorHAnsi"/>
            <w:noProof/>
            <w:webHidden/>
            <w:sz w:val="22"/>
            <w:szCs w:val="22"/>
          </w:rPr>
          <w:tab/>
        </w:r>
        <w:r w:rsidRPr="0008057D">
          <w:rPr>
            <w:rFonts w:asciiTheme="minorHAnsi" w:hAnsiTheme="minorHAnsi" w:cstheme="minorHAnsi"/>
            <w:noProof/>
            <w:webHidden/>
            <w:sz w:val="22"/>
            <w:szCs w:val="22"/>
          </w:rPr>
          <w:fldChar w:fldCharType="begin"/>
        </w:r>
        <w:r w:rsidRPr="0008057D">
          <w:rPr>
            <w:rFonts w:asciiTheme="minorHAnsi" w:hAnsiTheme="minorHAnsi" w:cstheme="minorHAnsi"/>
            <w:noProof/>
            <w:webHidden/>
            <w:sz w:val="22"/>
            <w:szCs w:val="22"/>
          </w:rPr>
          <w:instrText xml:space="preserve"> PAGEREF _Toc171908202 \h </w:instrText>
        </w:r>
        <w:r w:rsidRPr="0008057D">
          <w:rPr>
            <w:rFonts w:asciiTheme="minorHAnsi" w:hAnsiTheme="minorHAnsi" w:cstheme="minorHAnsi"/>
            <w:noProof/>
            <w:webHidden/>
            <w:sz w:val="22"/>
            <w:szCs w:val="22"/>
          </w:rPr>
        </w:r>
        <w:r w:rsidRPr="0008057D">
          <w:rPr>
            <w:rFonts w:asciiTheme="minorHAnsi" w:hAnsiTheme="minorHAnsi" w:cstheme="minorHAnsi"/>
            <w:noProof/>
            <w:webHidden/>
            <w:sz w:val="22"/>
            <w:szCs w:val="22"/>
          </w:rPr>
          <w:fldChar w:fldCharType="separate"/>
        </w:r>
        <w:r w:rsidR="0096670A">
          <w:rPr>
            <w:rFonts w:asciiTheme="minorHAnsi" w:hAnsiTheme="minorHAnsi" w:cstheme="minorHAnsi"/>
            <w:noProof/>
            <w:webHidden/>
            <w:sz w:val="22"/>
            <w:szCs w:val="22"/>
          </w:rPr>
          <w:t>17</w:t>
        </w:r>
        <w:r w:rsidRPr="0008057D">
          <w:rPr>
            <w:rFonts w:asciiTheme="minorHAnsi" w:hAnsiTheme="minorHAnsi" w:cstheme="minorHAnsi"/>
            <w:noProof/>
            <w:webHidden/>
            <w:sz w:val="22"/>
            <w:szCs w:val="22"/>
          </w:rPr>
          <w:fldChar w:fldCharType="end"/>
        </w:r>
      </w:hyperlink>
    </w:p>
    <w:p w14:paraId="479F9694" w14:textId="303C3A17" w:rsidR="002D5971" w:rsidRPr="0008057D" w:rsidRDefault="002D5971">
      <w:pPr>
        <w:pStyle w:val="TableofFigures"/>
        <w:tabs>
          <w:tab w:val="right" w:leader="dot" w:pos="9204"/>
        </w:tabs>
        <w:rPr>
          <w:rFonts w:asciiTheme="minorHAnsi" w:eastAsiaTheme="minorEastAsia" w:hAnsiTheme="minorHAnsi" w:cstheme="minorHAnsi"/>
          <w:noProof/>
          <w:kern w:val="2"/>
          <w:sz w:val="22"/>
          <w:szCs w:val="22"/>
          <w14:ligatures w14:val="standardContextual"/>
        </w:rPr>
      </w:pPr>
      <w:hyperlink w:anchor="_Toc171908203" w:history="1">
        <w:r w:rsidRPr="0008057D">
          <w:rPr>
            <w:rStyle w:val="Hyperlink"/>
            <w:rFonts w:asciiTheme="minorHAnsi" w:hAnsiTheme="minorHAnsi" w:cstheme="minorHAnsi"/>
            <w:noProof/>
            <w:sz w:val="22"/>
            <w:szCs w:val="22"/>
            <w:lang w:val="en-GB"/>
          </w:rPr>
          <w:t>Table 9. Questionnaires and Tables on Governance</w:t>
        </w:r>
        <w:r w:rsidRPr="0008057D">
          <w:rPr>
            <w:rFonts w:asciiTheme="minorHAnsi" w:hAnsiTheme="minorHAnsi" w:cstheme="minorHAnsi"/>
            <w:noProof/>
            <w:webHidden/>
            <w:sz w:val="22"/>
            <w:szCs w:val="22"/>
          </w:rPr>
          <w:tab/>
        </w:r>
        <w:r w:rsidRPr="0008057D">
          <w:rPr>
            <w:rFonts w:asciiTheme="minorHAnsi" w:hAnsiTheme="minorHAnsi" w:cstheme="minorHAnsi"/>
            <w:noProof/>
            <w:webHidden/>
            <w:sz w:val="22"/>
            <w:szCs w:val="22"/>
          </w:rPr>
          <w:fldChar w:fldCharType="begin"/>
        </w:r>
        <w:r w:rsidRPr="0008057D">
          <w:rPr>
            <w:rFonts w:asciiTheme="minorHAnsi" w:hAnsiTheme="minorHAnsi" w:cstheme="minorHAnsi"/>
            <w:noProof/>
            <w:webHidden/>
            <w:sz w:val="22"/>
            <w:szCs w:val="22"/>
          </w:rPr>
          <w:instrText xml:space="preserve"> PAGEREF _Toc171908203 \h </w:instrText>
        </w:r>
        <w:r w:rsidRPr="0008057D">
          <w:rPr>
            <w:rFonts w:asciiTheme="minorHAnsi" w:hAnsiTheme="minorHAnsi" w:cstheme="minorHAnsi"/>
            <w:noProof/>
            <w:webHidden/>
            <w:sz w:val="22"/>
            <w:szCs w:val="22"/>
          </w:rPr>
        </w:r>
        <w:r w:rsidRPr="0008057D">
          <w:rPr>
            <w:rFonts w:asciiTheme="minorHAnsi" w:hAnsiTheme="minorHAnsi" w:cstheme="minorHAnsi"/>
            <w:noProof/>
            <w:webHidden/>
            <w:sz w:val="22"/>
            <w:szCs w:val="22"/>
          </w:rPr>
          <w:fldChar w:fldCharType="separate"/>
        </w:r>
        <w:r w:rsidR="0096670A">
          <w:rPr>
            <w:rFonts w:asciiTheme="minorHAnsi" w:hAnsiTheme="minorHAnsi" w:cstheme="minorHAnsi"/>
            <w:noProof/>
            <w:webHidden/>
            <w:sz w:val="22"/>
            <w:szCs w:val="22"/>
          </w:rPr>
          <w:t>18</w:t>
        </w:r>
        <w:r w:rsidRPr="0008057D">
          <w:rPr>
            <w:rFonts w:asciiTheme="minorHAnsi" w:hAnsiTheme="minorHAnsi" w:cstheme="minorHAnsi"/>
            <w:noProof/>
            <w:webHidden/>
            <w:sz w:val="22"/>
            <w:szCs w:val="22"/>
          </w:rPr>
          <w:fldChar w:fldCharType="end"/>
        </w:r>
      </w:hyperlink>
    </w:p>
    <w:p w14:paraId="506090FE" w14:textId="748F166C" w:rsidR="002D5971" w:rsidRPr="0008057D" w:rsidRDefault="002D5971">
      <w:pPr>
        <w:pStyle w:val="TableofFigures"/>
        <w:tabs>
          <w:tab w:val="right" w:leader="dot" w:pos="9204"/>
        </w:tabs>
        <w:rPr>
          <w:rFonts w:asciiTheme="minorHAnsi" w:eastAsiaTheme="minorEastAsia" w:hAnsiTheme="minorHAnsi" w:cstheme="minorHAnsi"/>
          <w:noProof/>
          <w:kern w:val="2"/>
          <w:sz w:val="22"/>
          <w:szCs w:val="22"/>
          <w14:ligatures w14:val="standardContextual"/>
        </w:rPr>
      </w:pPr>
      <w:hyperlink w:anchor="_Toc171908204" w:history="1">
        <w:r w:rsidRPr="0008057D">
          <w:rPr>
            <w:rStyle w:val="Hyperlink"/>
            <w:rFonts w:asciiTheme="minorHAnsi" w:hAnsiTheme="minorHAnsi" w:cstheme="minorHAnsi"/>
            <w:noProof/>
            <w:sz w:val="22"/>
            <w:szCs w:val="22"/>
            <w:lang w:val="en-GB"/>
          </w:rPr>
          <w:t>Table 10. Linking CBK, IFRS and BCBS expectations on business strategy</w:t>
        </w:r>
        <w:r w:rsidRPr="0008057D">
          <w:rPr>
            <w:rFonts w:asciiTheme="minorHAnsi" w:hAnsiTheme="minorHAnsi" w:cstheme="minorHAnsi"/>
            <w:noProof/>
            <w:webHidden/>
            <w:sz w:val="22"/>
            <w:szCs w:val="22"/>
          </w:rPr>
          <w:tab/>
        </w:r>
        <w:r w:rsidRPr="0008057D">
          <w:rPr>
            <w:rFonts w:asciiTheme="minorHAnsi" w:hAnsiTheme="minorHAnsi" w:cstheme="minorHAnsi"/>
            <w:noProof/>
            <w:webHidden/>
            <w:sz w:val="22"/>
            <w:szCs w:val="22"/>
          </w:rPr>
          <w:fldChar w:fldCharType="begin"/>
        </w:r>
        <w:r w:rsidRPr="0008057D">
          <w:rPr>
            <w:rFonts w:asciiTheme="minorHAnsi" w:hAnsiTheme="minorHAnsi" w:cstheme="minorHAnsi"/>
            <w:noProof/>
            <w:webHidden/>
            <w:sz w:val="22"/>
            <w:szCs w:val="22"/>
          </w:rPr>
          <w:instrText xml:space="preserve"> PAGEREF _Toc171908204 \h </w:instrText>
        </w:r>
        <w:r w:rsidRPr="0008057D">
          <w:rPr>
            <w:rFonts w:asciiTheme="minorHAnsi" w:hAnsiTheme="minorHAnsi" w:cstheme="minorHAnsi"/>
            <w:noProof/>
            <w:webHidden/>
            <w:sz w:val="22"/>
            <w:szCs w:val="22"/>
          </w:rPr>
        </w:r>
        <w:r w:rsidRPr="0008057D">
          <w:rPr>
            <w:rFonts w:asciiTheme="minorHAnsi" w:hAnsiTheme="minorHAnsi" w:cstheme="minorHAnsi"/>
            <w:noProof/>
            <w:webHidden/>
            <w:sz w:val="22"/>
            <w:szCs w:val="22"/>
          </w:rPr>
          <w:fldChar w:fldCharType="separate"/>
        </w:r>
        <w:r w:rsidR="0096670A">
          <w:rPr>
            <w:rFonts w:asciiTheme="minorHAnsi" w:hAnsiTheme="minorHAnsi" w:cstheme="minorHAnsi"/>
            <w:noProof/>
            <w:webHidden/>
            <w:sz w:val="22"/>
            <w:szCs w:val="22"/>
          </w:rPr>
          <w:t>19</w:t>
        </w:r>
        <w:r w:rsidRPr="0008057D">
          <w:rPr>
            <w:rFonts w:asciiTheme="minorHAnsi" w:hAnsiTheme="minorHAnsi" w:cstheme="minorHAnsi"/>
            <w:noProof/>
            <w:webHidden/>
            <w:sz w:val="22"/>
            <w:szCs w:val="22"/>
          </w:rPr>
          <w:fldChar w:fldCharType="end"/>
        </w:r>
      </w:hyperlink>
    </w:p>
    <w:p w14:paraId="23A74953" w14:textId="5B9E2F8E" w:rsidR="002D5971" w:rsidRPr="0008057D" w:rsidRDefault="002D5971">
      <w:pPr>
        <w:pStyle w:val="TableofFigures"/>
        <w:tabs>
          <w:tab w:val="right" w:leader="dot" w:pos="9204"/>
        </w:tabs>
        <w:rPr>
          <w:rFonts w:asciiTheme="minorHAnsi" w:eastAsiaTheme="minorEastAsia" w:hAnsiTheme="minorHAnsi" w:cstheme="minorHAnsi"/>
          <w:noProof/>
          <w:kern w:val="2"/>
          <w:sz w:val="22"/>
          <w:szCs w:val="22"/>
          <w14:ligatures w14:val="standardContextual"/>
        </w:rPr>
      </w:pPr>
      <w:hyperlink w:anchor="_Toc171908205" w:history="1">
        <w:r w:rsidRPr="0008057D">
          <w:rPr>
            <w:rStyle w:val="Hyperlink"/>
            <w:rFonts w:asciiTheme="minorHAnsi" w:hAnsiTheme="minorHAnsi" w:cstheme="minorHAnsi"/>
            <w:noProof/>
            <w:sz w:val="22"/>
            <w:szCs w:val="22"/>
            <w:lang w:val="en-GB"/>
          </w:rPr>
          <w:t>Table 11. Qualitative questionnaire on business strategy</w:t>
        </w:r>
        <w:r w:rsidRPr="0008057D">
          <w:rPr>
            <w:rFonts w:asciiTheme="minorHAnsi" w:hAnsiTheme="minorHAnsi" w:cstheme="minorHAnsi"/>
            <w:noProof/>
            <w:webHidden/>
            <w:sz w:val="22"/>
            <w:szCs w:val="22"/>
          </w:rPr>
          <w:tab/>
        </w:r>
        <w:r w:rsidRPr="0008057D">
          <w:rPr>
            <w:rFonts w:asciiTheme="minorHAnsi" w:hAnsiTheme="minorHAnsi" w:cstheme="minorHAnsi"/>
            <w:noProof/>
            <w:webHidden/>
            <w:sz w:val="22"/>
            <w:szCs w:val="22"/>
          </w:rPr>
          <w:fldChar w:fldCharType="begin"/>
        </w:r>
        <w:r w:rsidRPr="0008057D">
          <w:rPr>
            <w:rFonts w:asciiTheme="minorHAnsi" w:hAnsiTheme="minorHAnsi" w:cstheme="minorHAnsi"/>
            <w:noProof/>
            <w:webHidden/>
            <w:sz w:val="22"/>
            <w:szCs w:val="22"/>
          </w:rPr>
          <w:instrText xml:space="preserve"> PAGEREF _Toc171908205 \h </w:instrText>
        </w:r>
        <w:r w:rsidRPr="0008057D">
          <w:rPr>
            <w:rFonts w:asciiTheme="minorHAnsi" w:hAnsiTheme="minorHAnsi" w:cstheme="minorHAnsi"/>
            <w:noProof/>
            <w:webHidden/>
            <w:sz w:val="22"/>
            <w:szCs w:val="22"/>
          </w:rPr>
        </w:r>
        <w:r w:rsidRPr="0008057D">
          <w:rPr>
            <w:rFonts w:asciiTheme="minorHAnsi" w:hAnsiTheme="minorHAnsi" w:cstheme="minorHAnsi"/>
            <w:noProof/>
            <w:webHidden/>
            <w:sz w:val="22"/>
            <w:szCs w:val="22"/>
          </w:rPr>
          <w:fldChar w:fldCharType="separate"/>
        </w:r>
        <w:r w:rsidR="0096670A">
          <w:rPr>
            <w:rFonts w:asciiTheme="minorHAnsi" w:hAnsiTheme="minorHAnsi" w:cstheme="minorHAnsi"/>
            <w:noProof/>
            <w:webHidden/>
            <w:sz w:val="22"/>
            <w:szCs w:val="22"/>
          </w:rPr>
          <w:t>20</w:t>
        </w:r>
        <w:r w:rsidRPr="0008057D">
          <w:rPr>
            <w:rFonts w:asciiTheme="minorHAnsi" w:hAnsiTheme="minorHAnsi" w:cstheme="minorHAnsi"/>
            <w:noProof/>
            <w:webHidden/>
            <w:sz w:val="22"/>
            <w:szCs w:val="22"/>
          </w:rPr>
          <w:fldChar w:fldCharType="end"/>
        </w:r>
      </w:hyperlink>
    </w:p>
    <w:p w14:paraId="63B4C1F4" w14:textId="50016EC3" w:rsidR="002D5971" w:rsidRPr="0008057D" w:rsidRDefault="002D5971">
      <w:pPr>
        <w:pStyle w:val="TableofFigures"/>
        <w:tabs>
          <w:tab w:val="right" w:leader="dot" w:pos="9204"/>
        </w:tabs>
        <w:rPr>
          <w:rFonts w:asciiTheme="minorHAnsi" w:eastAsiaTheme="minorEastAsia" w:hAnsiTheme="minorHAnsi" w:cstheme="minorHAnsi"/>
          <w:noProof/>
          <w:kern w:val="2"/>
          <w:sz w:val="22"/>
          <w:szCs w:val="22"/>
          <w14:ligatures w14:val="standardContextual"/>
        </w:rPr>
      </w:pPr>
      <w:hyperlink w:anchor="_Toc171908206" w:history="1">
        <w:r w:rsidRPr="0008057D">
          <w:rPr>
            <w:rStyle w:val="Hyperlink"/>
            <w:rFonts w:asciiTheme="minorHAnsi" w:hAnsiTheme="minorHAnsi" w:cstheme="minorHAnsi"/>
            <w:noProof/>
            <w:sz w:val="22"/>
            <w:szCs w:val="22"/>
            <w:lang w:val="en-GB"/>
          </w:rPr>
          <w:t>Table 12. Example of climate-driven financial risks and opportunities</w:t>
        </w:r>
        <w:r w:rsidRPr="0008057D">
          <w:rPr>
            <w:rFonts w:asciiTheme="minorHAnsi" w:hAnsiTheme="minorHAnsi" w:cstheme="minorHAnsi"/>
            <w:noProof/>
            <w:webHidden/>
            <w:sz w:val="22"/>
            <w:szCs w:val="22"/>
          </w:rPr>
          <w:tab/>
        </w:r>
        <w:r w:rsidRPr="0008057D">
          <w:rPr>
            <w:rFonts w:asciiTheme="minorHAnsi" w:hAnsiTheme="minorHAnsi" w:cstheme="minorHAnsi"/>
            <w:noProof/>
            <w:webHidden/>
            <w:sz w:val="22"/>
            <w:szCs w:val="22"/>
          </w:rPr>
          <w:fldChar w:fldCharType="begin"/>
        </w:r>
        <w:r w:rsidRPr="0008057D">
          <w:rPr>
            <w:rFonts w:asciiTheme="minorHAnsi" w:hAnsiTheme="minorHAnsi" w:cstheme="minorHAnsi"/>
            <w:noProof/>
            <w:webHidden/>
            <w:sz w:val="22"/>
            <w:szCs w:val="22"/>
          </w:rPr>
          <w:instrText xml:space="preserve"> PAGEREF _Toc171908206 \h </w:instrText>
        </w:r>
        <w:r w:rsidRPr="0008057D">
          <w:rPr>
            <w:rFonts w:asciiTheme="minorHAnsi" w:hAnsiTheme="minorHAnsi" w:cstheme="minorHAnsi"/>
            <w:noProof/>
            <w:webHidden/>
            <w:sz w:val="22"/>
            <w:szCs w:val="22"/>
          </w:rPr>
        </w:r>
        <w:r w:rsidRPr="0008057D">
          <w:rPr>
            <w:rFonts w:asciiTheme="minorHAnsi" w:hAnsiTheme="minorHAnsi" w:cstheme="minorHAnsi"/>
            <w:noProof/>
            <w:webHidden/>
            <w:sz w:val="22"/>
            <w:szCs w:val="22"/>
          </w:rPr>
          <w:fldChar w:fldCharType="separate"/>
        </w:r>
        <w:r w:rsidR="0096670A">
          <w:rPr>
            <w:rFonts w:asciiTheme="minorHAnsi" w:hAnsiTheme="minorHAnsi" w:cstheme="minorHAnsi"/>
            <w:noProof/>
            <w:webHidden/>
            <w:sz w:val="22"/>
            <w:szCs w:val="22"/>
          </w:rPr>
          <w:t>22</w:t>
        </w:r>
        <w:r w:rsidRPr="0008057D">
          <w:rPr>
            <w:rFonts w:asciiTheme="minorHAnsi" w:hAnsiTheme="minorHAnsi" w:cstheme="minorHAnsi"/>
            <w:noProof/>
            <w:webHidden/>
            <w:sz w:val="22"/>
            <w:szCs w:val="22"/>
          </w:rPr>
          <w:fldChar w:fldCharType="end"/>
        </w:r>
      </w:hyperlink>
    </w:p>
    <w:p w14:paraId="28818E73" w14:textId="28CCF442" w:rsidR="002D5971" w:rsidRPr="0008057D" w:rsidRDefault="002D5971">
      <w:pPr>
        <w:pStyle w:val="TableofFigures"/>
        <w:tabs>
          <w:tab w:val="right" w:leader="dot" w:pos="9204"/>
        </w:tabs>
        <w:rPr>
          <w:rFonts w:asciiTheme="minorHAnsi" w:eastAsiaTheme="minorEastAsia" w:hAnsiTheme="minorHAnsi" w:cstheme="minorHAnsi"/>
          <w:noProof/>
          <w:kern w:val="2"/>
          <w:sz w:val="22"/>
          <w:szCs w:val="22"/>
          <w14:ligatures w14:val="standardContextual"/>
        </w:rPr>
      </w:pPr>
      <w:hyperlink w:anchor="_Toc171908207" w:history="1">
        <w:r w:rsidRPr="0008057D">
          <w:rPr>
            <w:rStyle w:val="Hyperlink"/>
            <w:rFonts w:asciiTheme="minorHAnsi" w:hAnsiTheme="minorHAnsi" w:cstheme="minorHAnsi"/>
            <w:noProof/>
            <w:sz w:val="22"/>
            <w:szCs w:val="22"/>
            <w:lang w:val="en-GB"/>
          </w:rPr>
          <w:t>Table 13. Climate related materiality assessment</w:t>
        </w:r>
        <w:r w:rsidRPr="0008057D">
          <w:rPr>
            <w:rFonts w:asciiTheme="minorHAnsi" w:hAnsiTheme="minorHAnsi" w:cstheme="minorHAnsi"/>
            <w:noProof/>
            <w:webHidden/>
            <w:sz w:val="22"/>
            <w:szCs w:val="22"/>
          </w:rPr>
          <w:tab/>
        </w:r>
        <w:r w:rsidRPr="0008057D">
          <w:rPr>
            <w:rFonts w:asciiTheme="minorHAnsi" w:hAnsiTheme="minorHAnsi" w:cstheme="minorHAnsi"/>
            <w:noProof/>
            <w:webHidden/>
            <w:sz w:val="22"/>
            <w:szCs w:val="22"/>
          </w:rPr>
          <w:fldChar w:fldCharType="begin"/>
        </w:r>
        <w:r w:rsidRPr="0008057D">
          <w:rPr>
            <w:rFonts w:asciiTheme="minorHAnsi" w:hAnsiTheme="minorHAnsi" w:cstheme="minorHAnsi"/>
            <w:noProof/>
            <w:webHidden/>
            <w:sz w:val="22"/>
            <w:szCs w:val="22"/>
          </w:rPr>
          <w:instrText xml:space="preserve"> PAGEREF _Toc171908207 \h </w:instrText>
        </w:r>
        <w:r w:rsidRPr="0008057D">
          <w:rPr>
            <w:rFonts w:asciiTheme="minorHAnsi" w:hAnsiTheme="minorHAnsi" w:cstheme="minorHAnsi"/>
            <w:noProof/>
            <w:webHidden/>
            <w:sz w:val="22"/>
            <w:szCs w:val="22"/>
          </w:rPr>
        </w:r>
        <w:r w:rsidRPr="0008057D">
          <w:rPr>
            <w:rFonts w:asciiTheme="minorHAnsi" w:hAnsiTheme="minorHAnsi" w:cstheme="minorHAnsi"/>
            <w:noProof/>
            <w:webHidden/>
            <w:sz w:val="22"/>
            <w:szCs w:val="22"/>
          </w:rPr>
          <w:fldChar w:fldCharType="separate"/>
        </w:r>
        <w:r w:rsidR="0096670A">
          <w:rPr>
            <w:rFonts w:asciiTheme="minorHAnsi" w:hAnsiTheme="minorHAnsi" w:cstheme="minorHAnsi"/>
            <w:noProof/>
            <w:webHidden/>
            <w:sz w:val="22"/>
            <w:szCs w:val="22"/>
          </w:rPr>
          <w:t>23</w:t>
        </w:r>
        <w:r w:rsidRPr="0008057D">
          <w:rPr>
            <w:rFonts w:asciiTheme="minorHAnsi" w:hAnsiTheme="minorHAnsi" w:cstheme="minorHAnsi"/>
            <w:noProof/>
            <w:webHidden/>
            <w:sz w:val="22"/>
            <w:szCs w:val="22"/>
          </w:rPr>
          <w:fldChar w:fldCharType="end"/>
        </w:r>
      </w:hyperlink>
    </w:p>
    <w:p w14:paraId="0D429F55" w14:textId="32707B71" w:rsidR="002D5971" w:rsidRPr="0008057D" w:rsidRDefault="002D5971">
      <w:pPr>
        <w:pStyle w:val="TableofFigures"/>
        <w:tabs>
          <w:tab w:val="right" w:leader="dot" w:pos="9204"/>
        </w:tabs>
        <w:rPr>
          <w:rFonts w:asciiTheme="minorHAnsi" w:eastAsiaTheme="minorEastAsia" w:hAnsiTheme="minorHAnsi" w:cstheme="minorHAnsi"/>
          <w:noProof/>
          <w:kern w:val="2"/>
          <w:sz w:val="22"/>
          <w:szCs w:val="22"/>
          <w14:ligatures w14:val="standardContextual"/>
        </w:rPr>
      </w:pPr>
      <w:hyperlink w:anchor="_Toc171908208" w:history="1">
        <w:r w:rsidRPr="0008057D">
          <w:rPr>
            <w:rStyle w:val="Hyperlink"/>
            <w:rFonts w:asciiTheme="minorHAnsi" w:hAnsiTheme="minorHAnsi" w:cstheme="minorHAnsi"/>
            <w:noProof/>
            <w:sz w:val="22"/>
            <w:szCs w:val="22"/>
            <w:lang w:val="en-GB"/>
          </w:rPr>
          <w:t>Table 14. Template for reporting optional alignment metrics</w:t>
        </w:r>
        <w:r w:rsidRPr="0008057D">
          <w:rPr>
            <w:rFonts w:asciiTheme="minorHAnsi" w:hAnsiTheme="minorHAnsi" w:cstheme="minorHAnsi"/>
            <w:noProof/>
            <w:webHidden/>
            <w:sz w:val="22"/>
            <w:szCs w:val="22"/>
          </w:rPr>
          <w:tab/>
        </w:r>
        <w:r w:rsidRPr="0008057D">
          <w:rPr>
            <w:rFonts w:asciiTheme="minorHAnsi" w:hAnsiTheme="minorHAnsi" w:cstheme="minorHAnsi"/>
            <w:noProof/>
            <w:webHidden/>
            <w:sz w:val="22"/>
            <w:szCs w:val="22"/>
          </w:rPr>
          <w:fldChar w:fldCharType="begin"/>
        </w:r>
        <w:r w:rsidRPr="0008057D">
          <w:rPr>
            <w:rFonts w:asciiTheme="minorHAnsi" w:hAnsiTheme="minorHAnsi" w:cstheme="minorHAnsi"/>
            <w:noProof/>
            <w:webHidden/>
            <w:sz w:val="22"/>
            <w:szCs w:val="22"/>
          </w:rPr>
          <w:instrText xml:space="preserve"> PAGEREF _Toc171908208 \h </w:instrText>
        </w:r>
        <w:r w:rsidRPr="0008057D">
          <w:rPr>
            <w:rFonts w:asciiTheme="minorHAnsi" w:hAnsiTheme="minorHAnsi" w:cstheme="minorHAnsi"/>
            <w:noProof/>
            <w:webHidden/>
            <w:sz w:val="22"/>
            <w:szCs w:val="22"/>
          </w:rPr>
        </w:r>
        <w:r w:rsidRPr="0008057D">
          <w:rPr>
            <w:rFonts w:asciiTheme="minorHAnsi" w:hAnsiTheme="minorHAnsi" w:cstheme="minorHAnsi"/>
            <w:noProof/>
            <w:webHidden/>
            <w:sz w:val="22"/>
            <w:szCs w:val="22"/>
          </w:rPr>
          <w:fldChar w:fldCharType="separate"/>
        </w:r>
        <w:r w:rsidR="0096670A">
          <w:rPr>
            <w:rFonts w:asciiTheme="minorHAnsi" w:hAnsiTheme="minorHAnsi" w:cstheme="minorHAnsi"/>
            <w:noProof/>
            <w:webHidden/>
            <w:sz w:val="22"/>
            <w:szCs w:val="22"/>
          </w:rPr>
          <w:t>24</w:t>
        </w:r>
        <w:r w:rsidRPr="0008057D">
          <w:rPr>
            <w:rFonts w:asciiTheme="minorHAnsi" w:hAnsiTheme="minorHAnsi" w:cstheme="minorHAnsi"/>
            <w:noProof/>
            <w:webHidden/>
            <w:sz w:val="22"/>
            <w:szCs w:val="22"/>
          </w:rPr>
          <w:fldChar w:fldCharType="end"/>
        </w:r>
      </w:hyperlink>
    </w:p>
    <w:p w14:paraId="4FE73347" w14:textId="4A09E06C" w:rsidR="002D5971" w:rsidRPr="0008057D" w:rsidRDefault="002D5971">
      <w:pPr>
        <w:pStyle w:val="TableofFigures"/>
        <w:tabs>
          <w:tab w:val="right" w:leader="dot" w:pos="9204"/>
        </w:tabs>
        <w:rPr>
          <w:rFonts w:asciiTheme="minorHAnsi" w:eastAsiaTheme="minorEastAsia" w:hAnsiTheme="minorHAnsi" w:cstheme="minorHAnsi"/>
          <w:noProof/>
          <w:kern w:val="2"/>
          <w:sz w:val="22"/>
          <w:szCs w:val="22"/>
          <w14:ligatures w14:val="standardContextual"/>
        </w:rPr>
      </w:pPr>
      <w:hyperlink w:anchor="_Toc171908209" w:history="1">
        <w:r w:rsidRPr="0008057D">
          <w:rPr>
            <w:rStyle w:val="Hyperlink"/>
            <w:rFonts w:asciiTheme="minorHAnsi" w:hAnsiTheme="minorHAnsi" w:cstheme="minorHAnsi"/>
            <w:noProof/>
            <w:sz w:val="22"/>
            <w:szCs w:val="22"/>
            <w:lang w:val="en-GB"/>
          </w:rPr>
          <w:t>Table 15 Linking CBK, IFRS and BCBS expectations on risk management</w:t>
        </w:r>
        <w:r w:rsidRPr="0008057D">
          <w:rPr>
            <w:rFonts w:asciiTheme="minorHAnsi" w:hAnsiTheme="minorHAnsi" w:cstheme="minorHAnsi"/>
            <w:noProof/>
            <w:webHidden/>
            <w:sz w:val="22"/>
            <w:szCs w:val="22"/>
          </w:rPr>
          <w:tab/>
        </w:r>
        <w:r w:rsidRPr="0008057D">
          <w:rPr>
            <w:rFonts w:asciiTheme="minorHAnsi" w:hAnsiTheme="minorHAnsi" w:cstheme="minorHAnsi"/>
            <w:noProof/>
            <w:webHidden/>
            <w:sz w:val="22"/>
            <w:szCs w:val="22"/>
          </w:rPr>
          <w:fldChar w:fldCharType="begin"/>
        </w:r>
        <w:r w:rsidRPr="0008057D">
          <w:rPr>
            <w:rFonts w:asciiTheme="minorHAnsi" w:hAnsiTheme="minorHAnsi" w:cstheme="minorHAnsi"/>
            <w:noProof/>
            <w:webHidden/>
            <w:sz w:val="22"/>
            <w:szCs w:val="22"/>
          </w:rPr>
          <w:instrText xml:space="preserve"> PAGEREF _Toc171908209 \h </w:instrText>
        </w:r>
        <w:r w:rsidRPr="0008057D">
          <w:rPr>
            <w:rFonts w:asciiTheme="minorHAnsi" w:hAnsiTheme="minorHAnsi" w:cstheme="minorHAnsi"/>
            <w:noProof/>
            <w:webHidden/>
            <w:sz w:val="22"/>
            <w:szCs w:val="22"/>
          </w:rPr>
        </w:r>
        <w:r w:rsidRPr="0008057D">
          <w:rPr>
            <w:rFonts w:asciiTheme="minorHAnsi" w:hAnsiTheme="minorHAnsi" w:cstheme="minorHAnsi"/>
            <w:noProof/>
            <w:webHidden/>
            <w:sz w:val="22"/>
            <w:szCs w:val="22"/>
          </w:rPr>
          <w:fldChar w:fldCharType="separate"/>
        </w:r>
        <w:r w:rsidR="0096670A">
          <w:rPr>
            <w:rFonts w:asciiTheme="minorHAnsi" w:hAnsiTheme="minorHAnsi" w:cstheme="minorHAnsi"/>
            <w:noProof/>
            <w:webHidden/>
            <w:sz w:val="22"/>
            <w:szCs w:val="22"/>
          </w:rPr>
          <w:t>26</w:t>
        </w:r>
        <w:r w:rsidRPr="0008057D">
          <w:rPr>
            <w:rFonts w:asciiTheme="minorHAnsi" w:hAnsiTheme="minorHAnsi" w:cstheme="minorHAnsi"/>
            <w:noProof/>
            <w:webHidden/>
            <w:sz w:val="22"/>
            <w:szCs w:val="22"/>
          </w:rPr>
          <w:fldChar w:fldCharType="end"/>
        </w:r>
      </w:hyperlink>
    </w:p>
    <w:p w14:paraId="73A71BDB" w14:textId="52601510" w:rsidR="002D5971" w:rsidRPr="0008057D" w:rsidRDefault="002D5971">
      <w:pPr>
        <w:pStyle w:val="TableofFigures"/>
        <w:tabs>
          <w:tab w:val="right" w:leader="dot" w:pos="9204"/>
        </w:tabs>
        <w:rPr>
          <w:rFonts w:asciiTheme="minorHAnsi" w:eastAsiaTheme="minorEastAsia" w:hAnsiTheme="minorHAnsi" w:cstheme="minorHAnsi"/>
          <w:noProof/>
          <w:kern w:val="2"/>
          <w:sz w:val="22"/>
          <w:szCs w:val="22"/>
          <w14:ligatures w14:val="standardContextual"/>
        </w:rPr>
      </w:pPr>
      <w:hyperlink w:anchor="_Toc171908210" w:history="1">
        <w:r w:rsidRPr="0008057D">
          <w:rPr>
            <w:rStyle w:val="Hyperlink"/>
            <w:rFonts w:asciiTheme="minorHAnsi" w:hAnsiTheme="minorHAnsi" w:cstheme="minorHAnsi"/>
            <w:noProof/>
            <w:sz w:val="22"/>
            <w:szCs w:val="22"/>
            <w:lang w:val="en-GB"/>
          </w:rPr>
          <w:t>Table 16 Framework Template questionnaire on risk management, scenarios, and transition planning</w:t>
        </w:r>
        <w:r w:rsidRPr="0008057D">
          <w:rPr>
            <w:rFonts w:asciiTheme="minorHAnsi" w:hAnsiTheme="minorHAnsi" w:cstheme="minorHAnsi"/>
            <w:noProof/>
            <w:webHidden/>
            <w:sz w:val="22"/>
            <w:szCs w:val="22"/>
          </w:rPr>
          <w:tab/>
        </w:r>
        <w:r w:rsidRPr="0008057D">
          <w:rPr>
            <w:rFonts w:asciiTheme="minorHAnsi" w:hAnsiTheme="minorHAnsi" w:cstheme="minorHAnsi"/>
            <w:noProof/>
            <w:webHidden/>
            <w:sz w:val="22"/>
            <w:szCs w:val="22"/>
          </w:rPr>
          <w:fldChar w:fldCharType="begin"/>
        </w:r>
        <w:r w:rsidRPr="0008057D">
          <w:rPr>
            <w:rFonts w:asciiTheme="minorHAnsi" w:hAnsiTheme="minorHAnsi" w:cstheme="minorHAnsi"/>
            <w:noProof/>
            <w:webHidden/>
            <w:sz w:val="22"/>
            <w:szCs w:val="22"/>
          </w:rPr>
          <w:instrText xml:space="preserve"> PAGEREF _Toc171908210 \h </w:instrText>
        </w:r>
        <w:r w:rsidRPr="0008057D">
          <w:rPr>
            <w:rFonts w:asciiTheme="minorHAnsi" w:hAnsiTheme="minorHAnsi" w:cstheme="minorHAnsi"/>
            <w:noProof/>
            <w:webHidden/>
            <w:sz w:val="22"/>
            <w:szCs w:val="22"/>
          </w:rPr>
        </w:r>
        <w:r w:rsidRPr="0008057D">
          <w:rPr>
            <w:rFonts w:asciiTheme="minorHAnsi" w:hAnsiTheme="minorHAnsi" w:cstheme="minorHAnsi"/>
            <w:noProof/>
            <w:webHidden/>
            <w:sz w:val="22"/>
            <w:szCs w:val="22"/>
          </w:rPr>
          <w:fldChar w:fldCharType="separate"/>
        </w:r>
        <w:r w:rsidR="0096670A">
          <w:rPr>
            <w:rFonts w:asciiTheme="minorHAnsi" w:hAnsiTheme="minorHAnsi" w:cstheme="minorHAnsi"/>
            <w:noProof/>
            <w:webHidden/>
            <w:sz w:val="22"/>
            <w:szCs w:val="22"/>
          </w:rPr>
          <w:t>31</w:t>
        </w:r>
        <w:r w:rsidRPr="0008057D">
          <w:rPr>
            <w:rFonts w:asciiTheme="minorHAnsi" w:hAnsiTheme="minorHAnsi" w:cstheme="minorHAnsi"/>
            <w:noProof/>
            <w:webHidden/>
            <w:sz w:val="22"/>
            <w:szCs w:val="22"/>
          </w:rPr>
          <w:fldChar w:fldCharType="end"/>
        </w:r>
      </w:hyperlink>
    </w:p>
    <w:p w14:paraId="6CE4A46E" w14:textId="7ACD3A68" w:rsidR="002D5971" w:rsidRPr="0008057D" w:rsidRDefault="002D5971">
      <w:pPr>
        <w:pStyle w:val="TableofFigures"/>
        <w:tabs>
          <w:tab w:val="right" w:leader="dot" w:pos="9204"/>
        </w:tabs>
        <w:rPr>
          <w:rFonts w:asciiTheme="minorHAnsi" w:eastAsiaTheme="minorEastAsia" w:hAnsiTheme="minorHAnsi" w:cstheme="minorHAnsi"/>
          <w:noProof/>
          <w:kern w:val="2"/>
          <w:sz w:val="22"/>
          <w:szCs w:val="22"/>
          <w14:ligatures w14:val="standardContextual"/>
        </w:rPr>
      </w:pPr>
      <w:hyperlink w:anchor="_Toc171908211" w:history="1">
        <w:r w:rsidRPr="0008057D">
          <w:rPr>
            <w:rStyle w:val="Hyperlink"/>
            <w:rFonts w:asciiTheme="minorHAnsi" w:hAnsiTheme="minorHAnsi" w:cstheme="minorHAnsi"/>
            <w:noProof/>
            <w:sz w:val="22"/>
            <w:szCs w:val="22"/>
            <w:lang w:val="en-GB"/>
          </w:rPr>
          <w:t>Table 17. Linking CBK, IFRS and BCBS expectations on metrics and targets</w:t>
        </w:r>
        <w:r w:rsidRPr="0008057D">
          <w:rPr>
            <w:rFonts w:asciiTheme="minorHAnsi" w:hAnsiTheme="minorHAnsi" w:cstheme="minorHAnsi"/>
            <w:noProof/>
            <w:webHidden/>
            <w:sz w:val="22"/>
            <w:szCs w:val="22"/>
          </w:rPr>
          <w:tab/>
        </w:r>
        <w:r w:rsidRPr="0008057D">
          <w:rPr>
            <w:rFonts w:asciiTheme="minorHAnsi" w:hAnsiTheme="minorHAnsi" w:cstheme="minorHAnsi"/>
            <w:noProof/>
            <w:webHidden/>
            <w:sz w:val="22"/>
            <w:szCs w:val="22"/>
          </w:rPr>
          <w:fldChar w:fldCharType="begin"/>
        </w:r>
        <w:r w:rsidRPr="0008057D">
          <w:rPr>
            <w:rFonts w:asciiTheme="minorHAnsi" w:hAnsiTheme="minorHAnsi" w:cstheme="minorHAnsi"/>
            <w:noProof/>
            <w:webHidden/>
            <w:sz w:val="22"/>
            <w:szCs w:val="22"/>
          </w:rPr>
          <w:instrText xml:space="preserve"> PAGEREF _Toc171908211 \h </w:instrText>
        </w:r>
        <w:r w:rsidRPr="0008057D">
          <w:rPr>
            <w:rFonts w:asciiTheme="minorHAnsi" w:hAnsiTheme="minorHAnsi" w:cstheme="minorHAnsi"/>
            <w:noProof/>
            <w:webHidden/>
            <w:sz w:val="22"/>
            <w:szCs w:val="22"/>
          </w:rPr>
        </w:r>
        <w:r w:rsidRPr="0008057D">
          <w:rPr>
            <w:rFonts w:asciiTheme="minorHAnsi" w:hAnsiTheme="minorHAnsi" w:cstheme="minorHAnsi"/>
            <w:noProof/>
            <w:webHidden/>
            <w:sz w:val="22"/>
            <w:szCs w:val="22"/>
          </w:rPr>
          <w:fldChar w:fldCharType="separate"/>
        </w:r>
        <w:r w:rsidR="0096670A">
          <w:rPr>
            <w:rFonts w:asciiTheme="minorHAnsi" w:hAnsiTheme="minorHAnsi" w:cstheme="minorHAnsi"/>
            <w:noProof/>
            <w:webHidden/>
            <w:sz w:val="22"/>
            <w:szCs w:val="22"/>
          </w:rPr>
          <w:t>31</w:t>
        </w:r>
        <w:r w:rsidRPr="0008057D">
          <w:rPr>
            <w:rFonts w:asciiTheme="minorHAnsi" w:hAnsiTheme="minorHAnsi" w:cstheme="minorHAnsi"/>
            <w:noProof/>
            <w:webHidden/>
            <w:sz w:val="22"/>
            <w:szCs w:val="22"/>
          </w:rPr>
          <w:fldChar w:fldCharType="end"/>
        </w:r>
      </w:hyperlink>
    </w:p>
    <w:p w14:paraId="1A85042D" w14:textId="65F813B1" w:rsidR="002D5971" w:rsidRPr="0008057D" w:rsidRDefault="002D5971">
      <w:pPr>
        <w:pStyle w:val="TableofFigures"/>
        <w:tabs>
          <w:tab w:val="right" w:leader="dot" w:pos="9204"/>
        </w:tabs>
        <w:rPr>
          <w:rFonts w:asciiTheme="minorHAnsi" w:eastAsiaTheme="minorEastAsia" w:hAnsiTheme="minorHAnsi" w:cstheme="minorHAnsi"/>
          <w:noProof/>
          <w:kern w:val="2"/>
          <w:sz w:val="22"/>
          <w:szCs w:val="22"/>
          <w14:ligatures w14:val="standardContextual"/>
        </w:rPr>
      </w:pPr>
      <w:hyperlink w:anchor="_Toc171908212" w:history="1">
        <w:r w:rsidRPr="0008057D">
          <w:rPr>
            <w:rStyle w:val="Hyperlink"/>
            <w:rFonts w:asciiTheme="minorHAnsi" w:hAnsiTheme="minorHAnsi" w:cstheme="minorHAnsi"/>
            <w:noProof/>
            <w:sz w:val="22"/>
            <w:szCs w:val="22"/>
            <w:lang w:val="en-GB"/>
          </w:rPr>
          <w:t>Table 18. Core Metrics &amp; Targets (dark are required, light grey voluntary)</w:t>
        </w:r>
        <w:r w:rsidRPr="0008057D">
          <w:rPr>
            <w:rFonts w:asciiTheme="minorHAnsi" w:hAnsiTheme="minorHAnsi" w:cstheme="minorHAnsi"/>
            <w:noProof/>
            <w:webHidden/>
            <w:sz w:val="22"/>
            <w:szCs w:val="22"/>
          </w:rPr>
          <w:tab/>
        </w:r>
        <w:r w:rsidRPr="0008057D">
          <w:rPr>
            <w:rFonts w:asciiTheme="minorHAnsi" w:hAnsiTheme="minorHAnsi" w:cstheme="minorHAnsi"/>
            <w:noProof/>
            <w:webHidden/>
            <w:sz w:val="22"/>
            <w:szCs w:val="22"/>
          </w:rPr>
          <w:fldChar w:fldCharType="begin"/>
        </w:r>
        <w:r w:rsidRPr="0008057D">
          <w:rPr>
            <w:rFonts w:asciiTheme="minorHAnsi" w:hAnsiTheme="minorHAnsi" w:cstheme="minorHAnsi"/>
            <w:noProof/>
            <w:webHidden/>
            <w:sz w:val="22"/>
            <w:szCs w:val="22"/>
          </w:rPr>
          <w:instrText xml:space="preserve"> PAGEREF _Toc171908212 \h </w:instrText>
        </w:r>
        <w:r w:rsidRPr="0008057D">
          <w:rPr>
            <w:rFonts w:asciiTheme="minorHAnsi" w:hAnsiTheme="minorHAnsi" w:cstheme="minorHAnsi"/>
            <w:noProof/>
            <w:webHidden/>
            <w:sz w:val="22"/>
            <w:szCs w:val="22"/>
          </w:rPr>
        </w:r>
        <w:r w:rsidRPr="0008057D">
          <w:rPr>
            <w:rFonts w:asciiTheme="minorHAnsi" w:hAnsiTheme="minorHAnsi" w:cstheme="minorHAnsi"/>
            <w:noProof/>
            <w:webHidden/>
            <w:sz w:val="22"/>
            <w:szCs w:val="22"/>
          </w:rPr>
          <w:fldChar w:fldCharType="separate"/>
        </w:r>
        <w:r w:rsidR="0096670A">
          <w:rPr>
            <w:rFonts w:asciiTheme="minorHAnsi" w:hAnsiTheme="minorHAnsi" w:cstheme="minorHAnsi"/>
            <w:noProof/>
            <w:webHidden/>
            <w:sz w:val="22"/>
            <w:szCs w:val="22"/>
          </w:rPr>
          <w:t>33</w:t>
        </w:r>
        <w:r w:rsidRPr="0008057D">
          <w:rPr>
            <w:rFonts w:asciiTheme="minorHAnsi" w:hAnsiTheme="minorHAnsi" w:cstheme="minorHAnsi"/>
            <w:noProof/>
            <w:webHidden/>
            <w:sz w:val="22"/>
            <w:szCs w:val="22"/>
          </w:rPr>
          <w:fldChar w:fldCharType="end"/>
        </w:r>
      </w:hyperlink>
    </w:p>
    <w:p w14:paraId="21250DB4" w14:textId="7BFE01B2" w:rsidR="009F5B6E" w:rsidRPr="0008057D" w:rsidRDefault="006C78A6" w:rsidP="00616282">
      <w:pPr>
        <w:rPr>
          <w:rFonts w:asciiTheme="minorHAnsi" w:hAnsiTheme="minorHAnsi" w:cstheme="minorHAnsi"/>
          <w:lang w:val="en-GB"/>
        </w:rPr>
      </w:pPr>
      <w:r w:rsidRPr="0008057D">
        <w:rPr>
          <w:rFonts w:asciiTheme="minorHAnsi" w:hAnsiTheme="minorHAnsi" w:cstheme="minorHAnsi"/>
          <w:sz w:val="22"/>
          <w:szCs w:val="22"/>
          <w:lang w:val="en-GB"/>
        </w:rPr>
        <w:fldChar w:fldCharType="end"/>
      </w:r>
    </w:p>
    <w:p w14:paraId="0BD706C4" w14:textId="77777777" w:rsidR="00524B33" w:rsidRPr="0008057D" w:rsidRDefault="00524B33">
      <w:pPr>
        <w:rPr>
          <w:rFonts w:asciiTheme="minorHAnsi" w:hAnsiTheme="minorHAnsi" w:cstheme="minorHAnsi"/>
          <w:b/>
          <w:bCs/>
          <w:lang w:val="en-GB"/>
        </w:rPr>
      </w:pPr>
      <w:bookmarkStart w:id="2" w:name="_Toc167079283"/>
      <w:bookmarkStart w:id="3" w:name="_Toc167079473"/>
      <w:r w:rsidRPr="0008057D">
        <w:rPr>
          <w:rFonts w:asciiTheme="minorHAnsi" w:hAnsiTheme="minorHAnsi" w:cstheme="minorHAnsi"/>
          <w:b/>
          <w:bCs/>
          <w:lang w:val="en-GB"/>
        </w:rPr>
        <w:br w:type="page"/>
      </w:r>
    </w:p>
    <w:p w14:paraId="13DC6E0E" w14:textId="3FD5E5A0" w:rsidR="006C78A6" w:rsidRPr="0008057D" w:rsidRDefault="00BE32C1" w:rsidP="00616282">
      <w:pPr>
        <w:rPr>
          <w:rFonts w:asciiTheme="minorHAnsi" w:hAnsiTheme="minorHAnsi" w:cstheme="minorHAnsi"/>
          <w:b/>
          <w:bCs/>
          <w:lang w:val="en-GB"/>
        </w:rPr>
      </w:pPr>
      <w:r w:rsidRPr="0008057D">
        <w:rPr>
          <w:rFonts w:asciiTheme="minorHAnsi" w:hAnsiTheme="minorHAnsi" w:cstheme="minorHAnsi"/>
          <w:b/>
          <w:bCs/>
          <w:lang w:val="en-GB"/>
        </w:rPr>
        <w:lastRenderedPageBreak/>
        <w:t>List of Figures</w:t>
      </w:r>
      <w:bookmarkEnd w:id="2"/>
      <w:bookmarkEnd w:id="3"/>
    </w:p>
    <w:p w14:paraId="08ED81AB" w14:textId="77777777" w:rsidR="006C78A6" w:rsidRPr="0008057D" w:rsidRDefault="006C78A6" w:rsidP="00616282">
      <w:pPr>
        <w:rPr>
          <w:rFonts w:asciiTheme="minorHAnsi" w:hAnsiTheme="minorHAnsi" w:cstheme="minorHAnsi"/>
          <w:lang w:val="en-GB"/>
        </w:rPr>
      </w:pPr>
    </w:p>
    <w:p w14:paraId="417E9D45" w14:textId="350ECF00" w:rsidR="0008057D" w:rsidRPr="0008057D" w:rsidRDefault="006C78A6">
      <w:pPr>
        <w:pStyle w:val="TableofFigures"/>
        <w:tabs>
          <w:tab w:val="right" w:leader="dot" w:pos="9629"/>
        </w:tabs>
        <w:rPr>
          <w:rFonts w:asciiTheme="minorHAnsi" w:eastAsiaTheme="minorEastAsia" w:hAnsiTheme="minorHAnsi" w:cstheme="minorHAnsi"/>
          <w:noProof/>
          <w:kern w:val="2"/>
          <w:sz w:val="22"/>
          <w:szCs w:val="22"/>
          <w:lang w:val="en-GB"/>
          <w14:ligatures w14:val="standardContextual"/>
        </w:rPr>
      </w:pPr>
      <w:r w:rsidRPr="0008057D">
        <w:rPr>
          <w:rFonts w:asciiTheme="minorHAnsi" w:hAnsiTheme="minorHAnsi" w:cstheme="minorHAnsi"/>
          <w:sz w:val="22"/>
          <w:szCs w:val="22"/>
          <w:lang w:val="en-GB"/>
        </w:rPr>
        <w:fldChar w:fldCharType="begin"/>
      </w:r>
      <w:r w:rsidRPr="0008057D">
        <w:rPr>
          <w:rFonts w:asciiTheme="minorHAnsi" w:hAnsiTheme="minorHAnsi" w:cstheme="minorHAnsi"/>
          <w:sz w:val="22"/>
          <w:szCs w:val="22"/>
          <w:lang w:val="en-GB"/>
        </w:rPr>
        <w:instrText xml:space="preserve"> TOC \h \z \c "Figure" </w:instrText>
      </w:r>
      <w:r w:rsidRPr="0008057D">
        <w:rPr>
          <w:rFonts w:asciiTheme="minorHAnsi" w:hAnsiTheme="minorHAnsi" w:cstheme="minorHAnsi"/>
          <w:sz w:val="22"/>
          <w:szCs w:val="22"/>
          <w:lang w:val="en-GB"/>
        </w:rPr>
        <w:fldChar w:fldCharType="separate"/>
      </w:r>
      <w:hyperlink w:anchor="_Toc175223816" w:history="1">
        <w:r w:rsidR="0008057D" w:rsidRPr="0008057D">
          <w:rPr>
            <w:rStyle w:val="Hyperlink"/>
            <w:rFonts w:asciiTheme="minorHAnsi" w:hAnsiTheme="minorHAnsi" w:cstheme="minorHAnsi"/>
            <w:noProof/>
            <w:lang w:val="en-GB"/>
          </w:rPr>
          <w:t>Figure 1. Climate change impacts on the financial industry</w:t>
        </w:r>
        <w:r w:rsidR="0008057D" w:rsidRPr="0008057D">
          <w:rPr>
            <w:rFonts w:asciiTheme="minorHAnsi" w:hAnsiTheme="minorHAnsi" w:cstheme="minorHAnsi"/>
            <w:noProof/>
            <w:webHidden/>
          </w:rPr>
          <w:tab/>
        </w:r>
        <w:r w:rsidR="0008057D" w:rsidRPr="0008057D">
          <w:rPr>
            <w:rFonts w:asciiTheme="minorHAnsi" w:hAnsiTheme="minorHAnsi" w:cstheme="minorHAnsi"/>
            <w:noProof/>
            <w:webHidden/>
          </w:rPr>
          <w:fldChar w:fldCharType="begin"/>
        </w:r>
        <w:r w:rsidR="0008057D" w:rsidRPr="0008057D">
          <w:rPr>
            <w:rFonts w:asciiTheme="minorHAnsi" w:hAnsiTheme="minorHAnsi" w:cstheme="minorHAnsi"/>
            <w:noProof/>
            <w:webHidden/>
          </w:rPr>
          <w:instrText xml:space="preserve"> PAGEREF _Toc175223816 \h </w:instrText>
        </w:r>
        <w:r w:rsidR="0008057D" w:rsidRPr="0008057D">
          <w:rPr>
            <w:rFonts w:asciiTheme="minorHAnsi" w:hAnsiTheme="minorHAnsi" w:cstheme="minorHAnsi"/>
            <w:noProof/>
            <w:webHidden/>
          </w:rPr>
        </w:r>
        <w:r w:rsidR="0008057D" w:rsidRPr="0008057D">
          <w:rPr>
            <w:rFonts w:asciiTheme="minorHAnsi" w:hAnsiTheme="minorHAnsi" w:cstheme="minorHAnsi"/>
            <w:noProof/>
            <w:webHidden/>
          </w:rPr>
          <w:fldChar w:fldCharType="separate"/>
        </w:r>
        <w:r w:rsidR="0096670A">
          <w:rPr>
            <w:rFonts w:asciiTheme="minorHAnsi" w:hAnsiTheme="minorHAnsi" w:cstheme="minorHAnsi"/>
            <w:noProof/>
            <w:webHidden/>
          </w:rPr>
          <w:t>8</w:t>
        </w:r>
        <w:r w:rsidR="0008057D" w:rsidRPr="0008057D">
          <w:rPr>
            <w:rFonts w:asciiTheme="minorHAnsi" w:hAnsiTheme="minorHAnsi" w:cstheme="minorHAnsi"/>
            <w:noProof/>
            <w:webHidden/>
          </w:rPr>
          <w:fldChar w:fldCharType="end"/>
        </w:r>
      </w:hyperlink>
    </w:p>
    <w:p w14:paraId="3164490B" w14:textId="5C230C93" w:rsidR="0008057D" w:rsidRPr="0008057D" w:rsidRDefault="0008057D">
      <w:pPr>
        <w:pStyle w:val="TableofFigures"/>
        <w:tabs>
          <w:tab w:val="right" w:leader="dot" w:pos="9629"/>
        </w:tabs>
        <w:rPr>
          <w:rFonts w:asciiTheme="minorHAnsi" w:eastAsiaTheme="minorEastAsia" w:hAnsiTheme="minorHAnsi" w:cstheme="minorHAnsi"/>
          <w:noProof/>
          <w:kern w:val="2"/>
          <w:sz w:val="22"/>
          <w:szCs w:val="22"/>
          <w:lang w:val="en-GB"/>
          <w14:ligatures w14:val="standardContextual"/>
        </w:rPr>
      </w:pPr>
      <w:hyperlink w:anchor="_Toc175223817" w:history="1">
        <w:r w:rsidRPr="0008057D">
          <w:rPr>
            <w:rStyle w:val="Hyperlink"/>
            <w:rFonts w:asciiTheme="minorHAnsi" w:hAnsiTheme="minorHAnsi" w:cstheme="minorHAnsi"/>
            <w:noProof/>
            <w:lang w:val="en-GB"/>
          </w:rPr>
          <w:t>Figure 2. Classifying climate risks and opportunities</w:t>
        </w:r>
        <w:r w:rsidRPr="0008057D">
          <w:rPr>
            <w:rFonts w:asciiTheme="minorHAnsi" w:hAnsiTheme="minorHAnsi" w:cstheme="minorHAnsi"/>
            <w:noProof/>
            <w:webHidden/>
          </w:rPr>
          <w:tab/>
        </w:r>
        <w:r w:rsidRPr="0008057D">
          <w:rPr>
            <w:rFonts w:asciiTheme="minorHAnsi" w:hAnsiTheme="minorHAnsi" w:cstheme="minorHAnsi"/>
            <w:noProof/>
            <w:webHidden/>
          </w:rPr>
          <w:fldChar w:fldCharType="begin"/>
        </w:r>
        <w:r w:rsidRPr="0008057D">
          <w:rPr>
            <w:rFonts w:asciiTheme="minorHAnsi" w:hAnsiTheme="minorHAnsi" w:cstheme="minorHAnsi"/>
            <w:noProof/>
            <w:webHidden/>
          </w:rPr>
          <w:instrText xml:space="preserve"> PAGEREF _Toc175223817 \h </w:instrText>
        </w:r>
        <w:r w:rsidRPr="0008057D">
          <w:rPr>
            <w:rFonts w:asciiTheme="minorHAnsi" w:hAnsiTheme="minorHAnsi" w:cstheme="minorHAnsi"/>
            <w:noProof/>
            <w:webHidden/>
          </w:rPr>
        </w:r>
        <w:r w:rsidRPr="0008057D">
          <w:rPr>
            <w:rFonts w:asciiTheme="minorHAnsi" w:hAnsiTheme="minorHAnsi" w:cstheme="minorHAnsi"/>
            <w:noProof/>
            <w:webHidden/>
          </w:rPr>
          <w:fldChar w:fldCharType="separate"/>
        </w:r>
        <w:r w:rsidR="0096670A">
          <w:rPr>
            <w:rFonts w:asciiTheme="minorHAnsi" w:hAnsiTheme="minorHAnsi" w:cstheme="minorHAnsi"/>
            <w:noProof/>
            <w:webHidden/>
          </w:rPr>
          <w:t>11</w:t>
        </w:r>
        <w:r w:rsidRPr="0008057D">
          <w:rPr>
            <w:rFonts w:asciiTheme="minorHAnsi" w:hAnsiTheme="minorHAnsi" w:cstheme="minorHAnsi"/>
            <w:noProof/>
            <w:webHidden/>
          </w:rPr>
          <w:fldChar w:fldCharType="end"/>
        </w:r>
      </w:hyperlink>
    </w:p>
    <w:p w14:paraId="6F52F0D4" w14:textId="50C476F8" w:rsidR="0008057D" w:rsidRPr="0008057D" w:rsidRDefault="0008057D">
      <w:pPr>
        <w:pStyle w:val="TableofFigures"/>
        <w:tabs>
          <w:tab w:val="right" w:leader="dot" w:pos="9629"/>
        </w:tabs>
        <w:rPr>
          <w:rFonts w:asciiTheme="minorHAnsi" w:eastAsiaTheme="minorEastAsia" w:hAnsiTheme="minorHAnsi" w:cstheme="minorHAnsi"/>
          <w:noProof/>
          <w:kern w:val="2"/>
          <w:sz w:val="22"/>
          <w:szCs w:val="22"/>
          <w:lang w:val="en-GB"/>
          <w14:ligatures w14:val="standardContextual"/>
        </w:rPr>
      </w:pPr>
      <w:hyperlink w:anchor="_Toc175223818" w:history="1">
        <w:r w:rsidRPr="0008057D">
          <w:rPr>
            <w:rStyle w:val="Hyperlink"/>
            <w:rFonts w:asciiTheme="minorHAnsi" w:hAnsiTheme="minorHAnsi" w:cstheme="minorHAnsi"/>
            <w:noProof/>
            <w:lang w:val="en-GB"/>
          </w:rPr>
          <w:t xml:space="preserve">Figure 3: Board configurations to integrate </w:t>
        </w:r>
        <w:r>
          <w:rPr>
            <w:rStyle w:val="Hyperlink"/>
            <w:rFonts w:asciiTheme="minorHAnsi" w:hAnsiTheme="minorHAnsi" w:cstheme="minorHAnsi"/>
            <w:noProof/>
            <w:lang w:val="en-GB"/>
          </w:rPr>
          <w:t>climate-related</w:t>
        </w:r>
        <w:r w:rsidRPr="0008057D">
          <w:rPr>
            <w:rStyle w:val="Hyperlink"/>
            <w:rFonts w:asciiTheme="minorHAnsi" w:hAnsiTheme="minorHAnsi" w:cstheme="minorHAnsi"/>
            <w:noProof/>
            <w:lang w:val="en-GB"/>
          </w:rPr>
          <w:t xml:space="preserve"> issues in decision making for banks</w:t>
        </w:r>
        <w:r w:rsidRPr="0008057D">
          <w:rPr>
            <w:rFonts w:asciiTheme="minorHAnsi" w:hAnsiTheme="minorHAnsi" w:cstheme="minorHAnsi"/>
            <w:noProof/>
            <w:webHidden/>
          </w:rPr>
          <w:tab/>
        </w:r>
        <w:r w:rsidRPr="0008057D">
          <w:rPr>
            <w:rFonts w:asciiTheme="minorHAnsi" w:hAnsiTheme="minorHAnsi" w:cstheme="minorHAnsi"/>
            <w:noProof/>
            <w:webHidden/>
          </w:rPr>
          <w:fldChar w:fldCharType="begin"/>
        </w:r>
        <w:r w:rsidRPr="0008057D">
          <w:rPr>
            <w:rFonts w:asciiTheme="minorHAnsi" w:hAnsiTheme="minorHAnsi" w:cstheme="minorHAnsi"/>
            <w:noProof/>
            <w:webHidden/>
          </w:rPr>
          <w:instrText xml:space="preserve"> PAGEREF _Toc175223818 \h </w:instrText>
        </w:r>
        <w:r w:rsidRPr="0008057D">
          <w:rPr>
            <w:rFonts w:asciiTheme="minorHAnsi" w:hAnsiTheme="minorHAnsi" w:cstheme="minorHAnsi"/>
            <w:noProof/>
            <w:webHidden/>
          </w:rPr>
        </w:r>
        <w:r w:rsidRPr="0008057D">
          <w:rPr>
            <w:rFonts w:asciiTheme="minorHAnsi" w:hAnsiTheme="minorHAnsi" w:cstheme="minorHAnsi"/>
            <w:noProof/>
            <w:webHidden/>
          </w:rPr>
          <w:fldChar w:fldCharType="separate"/>
        </w:r>
        <w:r w:rsidR="0096670A">
          <w:rPr>
            <w:rFonts w:asciiTheme="minorHAnsi" w:hAnsiTheme="minorHAnsi" w:cstheme="minorHAnsi"/>
            <w:noProof/>
            <w:webHidden/>
          </w:rPr>
          <w:t>16</w:t>
        </w:r>
        <w:r w:rsidRPr="0008057D">
          <w:rPr>
            <w:rFonts w:asciiTheme="minorHAnsi" w:hAnsiTheme="minorHAnsi" w:cstheme="minorHAnsi"/>
            <w:noProof/>
            <w:webHidden/>
          </w:rPr>
          <w:fldChar w:fldCharType="end"/>
        </w:r>
      </w:hyperlink>
    </w:p>
    <w:p w14:paraId="5BEDD9F1" w14:textId="6929541D" w:rsidR="0008057D" w:rsidRPr="0008057D" w:rsidRDefault="0008057D">
      <w:pPr>
        <w:pStyle w:val="TableofFigures"/>
        <w:tabs>
          <w:tab w:val="right" w:leader="dot" w:pos="9629"/>
        </w:tabs>
        <w:rPr>
          <w:rFonts w:asciiTheme="minorHAnsi" w:eastAsiaTheme="minorEastAsia" w:hAnsiTheme="minorHAnsi" w:cstheme="minorHAnsi"/>
          <w:noProof/>
          <w:kern w:val="2"/>
          <w:sz w:val="22"/>
          <w:szCs w:val="22"/>
          <w:lang w:val="en-GB"/>
          <w14:ligatures w14:val="standardContextual"/>
        </w:rPr>
      </w:pPr>
      <w:hyperlink w:anchor="_Toc175223819" w:history="1">
        <w:r w:rsidRPr="0008057D">
          <w:rPr>
            <w:rStyle w:val="Hyperlink"/>
            <w:rFonts w:asciiTheme="minorHAnsi" w:hAnsiTheme="minorHAnsi" w:cstheme="minorHAnsi"/>
            <w:noProof/>
            <w:lang w:val="en-GB"/>
          </w:rPr>
          <w:t>Figure 4 Good practices for integrating climate risk into the business strategy</w:t>
        </w:r>
        <w:r w:rsidRPr="0008057D">
          <w:rPr>
            <w:rFonts w:asciiTheme="minorHAnsi" w:hAnsiTheme="minorHAnsi" w:cstheme="minorHAnsi"/>
            <w:noProof/>
            <w:webHidden/>
          </w:rPr>
          <w:tab/>
        </w:r>
        <w:r w:rsidRPr="0008057D">
          <w:rPr>
            <w:rFonts w:asciiTheme="minorHAnsi" w:hAnsiTheme="minorHAnsi" w:cstheme="minorHAnsi"/>
            <w:noProof/>
            <w:webHidden/>
          </w:rPr>
          <w:fldChar w:fldCharType="begin"/>
        </w:r>
        <w:r w:rsidRPr="0008057D">
          <w:rPr>
            <w:rFonts w:asciiTheme="minorHAnsi" w:hAnsiTheme="minorHAnsi" w:cstheme="minorHAnsi"/>
            <w:noProof/>
            <w:webHidden/>
          </w:rPr>
          <w:instrText xml:space="preserve"> PAGEREF _Toc175223819 \h </w:instrText>
        </w:r>
        <w:r w:rsidRPr="0008057D">
          <w:rPr>
            <w:rFonts w:asciiTheme="minorHAnsi" w:hAnsiTheme="minorHAnsi" w:cstheme="minorHAnsi"/>
            <w:noProof/>
            <w:webHidden/>
          </w:rPr>
        </w:r>
        <w:r w:rsidRPr="0008057D">
          <w:rPr>
            <w:rFonts w:asciiTheme="minorHAnsi" w:hAnsiTheme="minorHAnsi" w:cstheme="minorHAnsi"/>
            <w:noProof/>
            <w:webHidden/>
          </w:rPr>
          <w:fldChar w:fldCharType="separate"/>
        </w:r>
        <w:r w:rsidR="0096670A">
          <w:rPr>
            <w:rFonts w:asciiTheme="minorHAnsi" w:hAnsiTheme="minorHAnsi" w:cstheme="minorHAnsi"/>
            <w:noProof/>
            <w:webHidden/>
          </w:rPr>
          <w:t>21</w:t>
        </w:r>
        <w:r w:rsidRPr="0008057D">
          <w:rPr>
            <w:rFonts w:asciiTheme="minorHAnsi" w:hAnsiTheme="minorHAnsi" w:cstheme="minorHAnsi"/>
            <w:noProof/>
            <w:webHidden/>
          </w:rPr>
          <w:fldChar w:fldCharType="end"/>
        </w:r>
      </w:hyperlink>
    </w:p>
    <w:p w14:paraId="4ECEE62A" w14:textId="4150EF1D" w:rsidR="0008057D" w:rsidRPr="0008057D" w:rsidRDefault="0008057D">
      <w:pPr>
        <w:pStyle w:val="TableofFigures"/>
        <w:tabs>
          <w:tab w:val="right" w:leader="dot" w:pos="9629"/>
        </w:tabs>
        <w:rPr>
          <w:rFonts w:asciiTheme="minorHAnsi" w:eastAsiaTheme="minorEastAsia" w:hAnsiTheme="minorHAnsi" w:cstheme="minorHAnsi"/>
          <w:noProof/>
          <w:kern w:val="2"/>
          <w:sz w:val="22"/>
          <w:szCs w:val="22"/>
          <w:lang w:val="en-GB"/>
          <w14:ligatures w14:val="standardContextual"/>
        </w:rPr>
      </w:pPr>
      <w:hyperlink w:anchor="_Toc175223820" w:history="1">
        <w:r w:rsidRPr="0008057D">
          <w:rPr>
            <w:rStyle w:val="Hyperlink"/>
            <w:rFonts w:asciiTheme="minorHAnsi" w:hAnsiTheme="minorHAnsi" w:cstheme="minorHAnsi"/>
            <w:noProof/>
            <w:lang w:val="en-GB"/>
          </w:rPr>
          <w:t>Figure 5. BBVA heatmap of transition and physical risks in the short, medium, and long term</w:t>
        </w:r>
        <w:r w:rsidRPr="0008057D">
          <w:rPr>
            <w:rFonts w:asciiTheme="minorHAnsi" w:hAnsiTheme="minorHAnsi" w:cstheme="minorHAnsi"/>
            <w:noProof/>
            <w:webHidden/>
          </w:rPr>
          <w:tab/>
        </w:r>
        <w:r w:rsidRPr="0008057D">
          <w:rPr>
            <w:rFonts w:asciiTheme="minorHAnsi" w:hAnsiTheme="minorHAnsi" w:cstheme="minorHAnsi"/>
            <w:noProof/>
            <w:webHidden/>
          </w:rPr>
          <w:fldChar w:fldCharType="begin"/>
        </w:r>
        <w:r w:rsidRPr="0008057D">
          <w:rPr>
            <w:rFonts w:asciiTheme="minorHAnsi" w:hAnsiTheme="minorHAnsi" w:cstheme="minorHAnsi"/>
            <w:noProof/>
            <w:webHidden/>
          </w:rPr>
          <w:instrText xml:space="preserve"> PAGEREF _Toc175223820 \h </w:instrText>
        </w:r>
        <w:r w:rsidRPr="0008057D">
          <w:rPr>
            <w:rFonts w:asciiTheme="minorHAnsi" w:hAnsiTheme="minorHAnsi" w:cstheme="minorHAnsi"/>
            <w:noProof/>
            <w:webHidden/>
          </w:rPr>
        </w:r>
        <w:r w:rsidRPr="0008057D">
          <w:rPr>
            <w:rFonts w:asciiTheme="minorHAnsi" w:hAnsiTheme="minorHAnsi" w:cstheme="minorHAnsi"/>
            <w:noProof/>
            <w:webHidden/>
          </w:rPr>
          <w:fldChar w:fldCharType="separate"/>
        </w:r>
        <w:r w:rsidR="0096670A">
          <w:rPr>
            <w:rFonts w:asciiTheme="minorHAnsi" w:hAnsiTheme="minorHAnsi" w:cstheme="minorHAnsi"/>
            <w:noProof/>
            <w:webHidden/>
          </w:rPr>
          <w:t>23</w:t>
        </w:r>
        <w:r w:rsidRPr="0008057D">
          <w:rPr>
            <w:rFonts w:asciiTheme="minorHAnsi" w:hAnsiTheme="minorHAnsi" w:cstheme="minorHAnsi"/>
            <w:noProof/>
            <w:webHidden/>
          </w:rPr>
          <w:fldChar w:fldCharType="end"/>
        </w:r>
      </w:hyperlink>
    </w:p>
    <w:p w14:paraId="7260BD82" w14:textId="5535A308" w:rsidR="0008057D" w:rsidRPr="0008057D" w:rsidRDefault="0008057D">
      <w:pPr>
        <w:pStyle w:val="TableofFigures"/>
        <w:tabs>
          <w:tab w:val="right" w:leader="dot" w:pos="9629"/>
        </w:tabs>
        <w:rPr>
          <w:rFonts w:asciiTheme="minorHAnsi" w:eastAsiaTheme="minorEastAsia" w:hAnsiTheme="minorHAnsi" w:cstheme="minorHAnsi"/>
          <w:noProof/>
          <w:kern w:val="2"/>
          <w:sz w:val="22"/>
          <w:szCs w:val="22"/>
          <w:lang w:val="en-GB"/>
          <w14:ligatures w14:val="standardContextual"/>
        </w:rPr>
      </w:pPr>
      <w:hyperlink w:anchor="_Toc175223821" w:history="1">
        <w:r w:rsidRPr="0008057D">
          <w:rPr>
            <w:rStyle w:val="Hyperlink"/>
            <w:rFonts w:asciiTheme="minorHAnsi" w:hAnsiTheme="minorHAnsi" w:cstheme="minorHAnsi"/>
            <w:noProof/>
            <w:lang w:val="en-GB"/>
          </w:rPr>
          <w:t>Figure 6. Citi exposure and heatmap of transition and physical risks</w:t>
        </w:r>
        <w:r w:rsidRPr="0008057D">
          <w:rPr>
            <w:rFonts w:asciiTheme="minorHAnsi" w:hAnsiTheme="minorHAnsi" w:cstheme="minorHAnsi"/>
            <w:noProof/>
            <w:webHidden/>
          </w:rPr>
          <w:tab/>
        </w:r>
        <w:r w:rsidRPr="0008057D">
          <w:rPr>
            <w:rFonts w:asciiTheme="minorHAnsi" w:hAnsiTheme="minorHAnsi" w:cstheme="minorHAnsi"/>
            <w:noProof/>
            <w:webHidden/>
          </w:rPr>
          <w:fldChar w:fldCharType="begin"/>
        </w:r>
        <w:r w:rsidRPr="0008057D">
          <w:rPr>
            <w:rFonts w:asciiTheme="minorHAnsi" w:hAnsiTheme="minorHAnsi" w:cstheme="minorHAnsi"/>
            <w:noProof/>
            <w:webHidden/>
          </w:rPr>
          <w:instrText xml:space="preserve"> PAGEREF _Toc175223821 \h </w:instrText>
        </w:r>
        <w:r w:rsidRPr="0008057D">
          <w:rPr>
            <w:rFonts w:asciiTheme="minorHAnsi" w:hAnsiTheme="minorHAnsi" w:cstheme="minorHAnsi"/>
            <w:noProof/>
            <w:webHidden/>
          </w:rPr>
        </w:r>
        <w:r w:rsidRPr="0008057D">
          <w:rPr>
            <w:rFonts w:asciiTheme="minorHAnsi" w:hAnsiTheme="minorHAnsi" w:cstheme="minorHAnsi"/>
            <w:noProof/>
            <w:webHidden/>
          </w:rPr>
          <w:fldChar w:fldCharType="separate"/>
        </w:r>
        <w:r w:rsidR="0096670A">
          <w:rPr>
            <w:rFonts w:asciiTheme="minorHAnsi" w:hAnsiTheme="minorHAnsi" w:cstheme="minorHAnsi"/>
            <w:noProof/>
            <w:webHidden/>
          </w:rPr>
          <w:t>23</w:t>
        </w:r>
        <w:r w:rsidRPr="0008057D">
          <w:rPr>
            <w:rFonts w:asciiTheme="minorHAnsi" w:hAnsiTheme="minorHAnsi" w:cstheme="minorHAnsi"/>
            <w:noProof/>
            <w:webHidden/>
          </w:rPr>
          <w:fldChar w:fldCharType="end"/>
        </w:r>
      </w:hyperlink>
    </w:p>
    <w:p w14:paraId="045325C8" w14:textId="2542E83F" w:rsidR="0008057D" w:rsidRPr="0008057D" w:rsidRDefault="0008057D">
      <w:pPr>
        <w:pStyle w:val="TableofFigures"/>
        <w:tabs>
          <w:tab w:val="right" w:leader="dot" w:pos="9629"/>
        </w:tabs>
        <w:rPr>
          <w:rFonts w:asciiTheme="minorHAnsi" w:eastAsiaTheme="minorEastAsia" w:hAnsiTheme="minorHAnsi" w:cstheme="minorHAnsi"/>
          <w:noProof/>
          <w:kern w:val="2"/>
          <w:sz w:val="22"/>
          <w:szCs w:val="22"/>
          <w:lang w:val="en-GB"/>
          <w14:ligatures w14:val="standardContextual"/>
        </w:rPr>
      </w:pPr>
      <w:hyperlink w:anchor="_Toc175223822" w:history="1">
        <w:r w:rsidRPr="0008057D">
          <w:rPr>
            <w:rStyle w:val="Hyperlink"/>
            <w:rFonts w:asciiTheme="minorHAnsi" w:hAnsiTheme="minorHAnsi" w:cstheme="minorHAnsi"/>
            <w:noProof/>
            <w:lang w:val="en-GB"/>
          </w:rPr>
          <w:t>Figure 7. ING Power generation decarbonization pathway</w:t>
        </w:r>
        <w:r w:rsidRPr="0008057D">
          <w:rPr>
            <w:rFonts w:asciiTheme="minorHAnsi" w:hAnsiTheme="minorHAnsi" w:cstheme="minorHAnsi"/>
            <w:noProof/>
            <w:webHidden/>
          </w:rPr>
          <w:tab/>
        </w:r>
        <w:r w:rsidRPr="0008057D">
          <w:rPr>
            <w:rFonts w:asciiTheme="minorHAnsi" w:hAnsiTheme="minorHAnsi" w:cstheme="minorHAnsi"/>
            <w:noProof/>
            <w:webHidden/>
          </w:rPr>
          <w:fldChar w:fldCharType="begin"/>
        </w:r>
        <w:r w:rsidRPr="0008057D">
          <w:rPr>
            <w:rFonts w:asciiTheme="minorHAnsi" w:hAnsiTheme="minorHAnsi" w:cstheme="minorHAnsi"/>
            <w:noProof/>
            <w:webHidden/>
          </w:rPr>
          <w:instrText xml:space="preserve"> PAGEREF _Toc175223822 \h </w:instrText>
        </w:r>
        <w:r w:rsidRPr="0008057D">
          <w:rPr>
            <w:rFonts w:asciiTheme="minorHAnsi" w:hAnsiTheme="minorHAnsi" w:cstheme="minorHAnsi"/>
            <w:noProof/>
            <w:webHidden/>
          </w:rPr>
        </w:r>
        <w:r w:rsidRPr="0008057D">
          <w:rPr>
            <w:rFonts w:asciiTheme="minorHAnsi" w:hAnsiTheme="minorHAnsi" w:cstheme="minorHAnsi"/>
            <w:noProof/>
            <w:webHidden/>
          </w:rPr>
          <w:fldChar w:fldCharType="separate"/>
        </w:r>
        <w:r w:rsidR="0096670A">
          <w:rPr>
            <w:rFonts w:asciiTheme="minorHAnsi" w:hAnsiTheme="minorHAnsi" w:cstheme="minorHAnsi"/>
            <w:noProof/>
            <w:webHidden/>
          </w:rPr>
          <w:t>24</w:t>
        </w:r>
        <w:r w:rsidRPr="0008057D">
          <w:rPr>
            <w:rFonts w:asciiTheme="minorHAnsi" w:hAnsiTheme="minorHAnsi" w:cstheme="minorHAnsi"/>
            <w:noProof/>
            <w:webHidden/>
          </w:rPr>
          <w:fldChar w:fldCharType="end"/>
        </w:r>
      </w:hyperlink>
    </w:p>
    <w:p w14:paraId="04DD1F62" w14:textId="7D89D835" w:rsidR="0008057D" w:rsidRPr="0008057D" w:rsidRDefault="0008057D">
      <w:pPr>
        <w:pStyle w:val="TableofFigures"/>
        <w:tabs>
          <w:tab w:val="right" w:leader="dot" w:pos="9629"/>
        </w:tabs>
        <w:rPr>
          <w:rFonts w:asciiTheme="minorHAnsi" w:eastAsiaTheme="minorEastAsia" w:hAnsiTheme="minorHAnsi" w:cstheme="minorHAnsi"/>
          <w:noProof/>
          <w:kern w:val="2"/>
          <w:sz w:val="22"/>
          <w:szCs w:val="22"/>
          <w:lang w:val="en-GB"/>
          <w14:ligatures w14:val="standardContextual"/>
        </w:rPr>
      </w:pPr>
      <w:hyperlink w:anchor="_Toc175223823" w:history="1">
        <w:r w:rsidRPr="0008057D">
          <w:rPr>
            <w:rStyle w:val="Hyperlink"/>
            <w:rFonts w:asciiTheme="minorHAnsi" w:hAnsiTheme="minorHAnsi" w:cstheme="minorHAnsi"/>
            <w:noProof/>
            <w:lang w:val="en-GB"/>
          </w:rPr>
          <w:t>Figure 8. ING Cement decarbonization pathway</w:t>
        </w:r>
        <w:r w:rsidRPr="0008057D">
          <w:rPr>
            <w:rFonts w:asciiTheme="minorHAnsi" w:hAnsiTheme="minorHAnsi" w:cstheme="minorHAnsi"/>
            <w:noProof/>
            <w:webHidden/>
          </w:rPr>
          <w:tab/>
        </w:r>
        <w:r w:rsidRPr="0008057D">
          <w:rPr>
            <w:rFonts w:asciiTheme="minorHAnsi" w:hAnsiTheme="minorHAnsi" w:cstheme="minorHAnsi"/>
            <w:noProof/>
            <w:webHidden/>
          </w:rPr>
          <w:fldChar w:fldCharType="begin"/>
        </w:r>
        <w:r w:rsidRPr="0008057D">
          <w:rPr>
            <w:rFonts w:asciiTheme="minorHAnsi" w:hAnsiTheme="minorHAnsi" w:cstheme="minorHAnsi"/>
            <w:noProof/>
            <w:webHidden/>
          </w:rPr>
          <w:instrText xml:space="preserve"> PAGEREF _Toc175223823 \h </w:instrText>
        </w:r>
        <w:r w:rsidRPr="0008057D">
          <w:rPr>
            <w:rFonts w:asciiTheme="minorHAnsi" w:hAnsiTheme="minorHAnsi" w:cstheme="minorHAnsi"/>
            <w:noProof/>
            <w:webHidden/>
          </w:rPr>
        </w:r>
        <w:r w:rsidRPr="0008057D">
          <w:rPr>
            <w:rFonts w:asciiTheme="minorHAnsi" w:hAnsiTheme="minorHAnsi" w:cstheme="minorHAnsi"/>
            <w:noProof/>
            <w:webHidden/>
          </w:rPr>
          <w:fldChar w:fldCharType="separate"/>
        </w:r>
        <w:r w:rsidR="0096670A">
          <w:rPr>
            <w:rFonts w:asciiTheme="minorHAnsi" w:hAnsiTheme="minorHAnsi" w:cstheme="minorHAnsi"/>
            <w:noProof/>
            <w:webHidden/>
          </w:rPr>
          <w:t>24</w:t>
        </w:r>
        <w:r w:rsidRPr="0008057D">
          <w:rPr>
            <w:rFonts w:asciiTheme="minorHAnsi" w:hAnsiTheme="minorHAnsi" w:cstheme="minorHAnsi"/>
            <w:noProof/>
            <w:webHidden/>
          </w:rPr>
          <w:fldChar w:fldCharType="end"/>
        </w:r>
      </w:hyperlink>
    </w:p>
    <w:p w14:paraId="3209AF25" w14:textId="0B7D3BE4" w:rsidR="0008057D" w:rsidRPr="0008057D" w:rsidRDefault="0008057D">
      <w:pPr>
        <w:pStyle w:val="TableofFigures"/>
        <w:tabs>
          <w:tab w:val="right" w:leader="dot" w:pos="9629"/>
        </w:tabs>
        <w:rPr>
          <w:rFonts w:asciiTheme="minorHAnsi" w:eastAsiaTheme="minorEastAsia" w:hAnsiTheme="minorHAnsi" w:cstheme="minorHAnsi"/>
          <w:noProof/>
          <w:kern w:val="2"/>
          <w:sz w:val="22"/>
          <w:szCs w:val="22"/>
          <w:lang w:val="en-GB"/>
          <w14:ligatures w14:val="standardContextual"/>
        </w:rPr>
      </w:pPr>
      <w:hyperlink w:anchor="_Toc175223824" w:history="1">
        <w:r w:rsidRPr="0008057D">
          <w:rPr>
            <w:rStyle w:val="Hyperlink"/>
            <w:rFonts w:asciiTheme="minorHAnsi" w:hAnsiTheme="minorHAnsi" w:cstheme="minorHAnsi"/>
            <w:noProof/>
            <w:lang w:val="en-GB"/>
          </w:rPr>
          <w:t>Figure 9. Overview of TD Bank Climate Transition Plan</w:t>
        </w:r>
        <w:r w:rsidRPr="0008057D">
          <w:rPr>
            <w:rFonts w:asciiTheme="minorHAnsi" w:hAnsiTheme="minorHAnsi" w:cstheme="minorHAnsi"/>
            <w:noProof/>
            <w:webHidden/>
          </w:rPr>
          <w:tab/>
        </w:r>
        <w:r w:rsidRPr="0008057D">
          <w:rPr>
            <w:rFonts w:asciiTheme="minorHAnsi" w:hAnsiTheme="minorHAnsi" w:cstheme="minorHAnsi"/>
            <w:noProof/>
            <w:webHidden/>
          </w:rPr>
          <w:fldChar w:fldCharType="begin"/>
        </w:r>
        <w:r w:rsidRPr="0008057D">
          <w:rPr>
            <w:rFonts w:asciiTheme="minorHAnsi" w:hAnsiTheme="minorHAnsi" w:cstheme="minorHAnsi"/>
            <w:noProof/>
            <w:webHidden/>
          </w:rPr>
          <w:instrText xml:space="preserve"> PAGEREF _Toc175223824 \h </w:instrText>
        </w:r>
        <w:r w:rsidRPr="0008057D">
          <w:rPr>
            <w:rFonts w:asciiTheme="minorHAnsi" w:hAnsiTheme="minorHAnsi" w:cstheme="minorHAnsi"/>
            <w:noProof/>
            <w:webHidden/>
          </w:rPr>
        </w:r>
        <w:r w:rsidRPr="0008057D">
          <w:rPr>
            <w:rFonts w:asciiTheme="minorHAnsi" w:hAnsiTheme="minorHAnsi" w:cstheme="minorHAnsi"/>
            <w:noProof/>
            <w:webHidden/>
          </w:rPr>
          <w:fldChar w:fldCharType="separate"/>
        </w:r>
        <w:r w:rsidR="0096670A">
          <w:rPr>
            <w:rFonts w:asciiTheme="minorHAnsi" w:hAnsiTheme="minorHAnsi" w:cstheme="minorHAnsi"/>
            <w:noProof/>
            <w:webHidden/>
          </w:rPr>
          <w:t>25</w:t>
        </w:r>
        <w:r w:rsidRPr="0008057D">
          <w:rPr>
            <w:rFonts w:asciiTheme="minorHAnsi" w:hAnsiTheme="minorHAnsi" w:cstheme="minorHAnsi"/>
            <w:noProof/>
            <w:webHidden/>
          </w:rPr>
          <w:fldChar w:fldCharType="end"/>
        </w:r>
      </w:hyperlink>
    </w:p>
    <w:p w14:paraId="3890EF4A" w14:textId="7120420C" w:rsidR="0008057D" w:rsidRPr="0008057D" w:rsidRDefault="0008057D">
      <w:pPr>
        <w:pStyle w:val="TableofFigures"/>
        <w:tabs>
          <w:tab w:val="right" w:leader="dot" w:pos="9629"/>
        </w:tabs>
        <w:rPr>
          <w:rFonts w:asciiTheme="minorHAnsi" w:eastAsiaTheme="minorEastAsia" w:hAnsiTheme="minorHAnsi" w:cstheme="minorHAnsi"/>
          <w:noProof/>
          <w:kern w:val="2"/>
          <w:sz w:val="22"/>
          <w:szCs w:val="22"/>
          <w:lang w:val="en-GB"/>
          <w14:ligatures w14:val="standardContextual"/>
        </w:rPr>
      </w:pPr>
      <w:hyperlink w:anchor="_Toc175223825" w:history="1">
        <w:r w:rsidRPr="0008057D">
          <w:rPr>
            <w:rStyle w:val="Hyperlink"/>
            <w:rFonts w:asciiTheme="minorHAnsi" w:hAnsiTheme="minorHAnsi" w:cstheme="minorHAnsi"/>
            <w:noProof/>
            <w:lang w:val="en-GB"/>
          </w:rPr>
          <w:t>Figure 10: Climate Risk Management Process (explanatory)</w:t>
        </w:r>
        <w:r w:rsidRPr="0008057D">
          <w:rPr>
            <w:rFonts w:asciiTheme="minorHAnsi" w:hAnsiTheme="minorHAnsi" w:cstheme="minorHAnsi"/>
            <w:noProof/>
            <w:webHidden/>
          </w:rPr>
          <w:tab/>
        </w:r>
        <w:r w:rsidRPr="0008057D">
          <w:rPr>
            <w:rFonts w:asciiTheme="minorHAnsi" w:hAnsiTheme="minorHAnsi" w:cstheme="minorHAnsi"/>
            <w:noProof/>
            <w:webHidden/>
          </w:rPr>
          <w:fldChar w:fldCharType="begin"/>
        </w:r>
        <w:r w:rsidRPr="0008057D">
          <w:rPr>
            <w:rFonts w:asciiTheme="minorHAnsi" w:hAnsiTheme="minorHAnsi" w:cstheme="minorHAnsi"/>
            <w:noProof/>
            <w:webHidden/>
          </w:rPr>
          <w:instrText xml:space="preserve"> PAGEREF _Toc175223825 \h </w:instrText>
        </w:r>
        <w:r w:rsidRPr="0008057D">
          <w:rPr>
            <w:rFonts w:asciiTheme="minorHAnsi" w:hAnsiTheme="minorHAnsi" w:cstheme="minorHAnsi"/>
            <w:noProof/>
            <w:webHidden/>
          </w:rPr>
        </w:r>
        <w:r w:rsidRPr="0008057D">
          <w:rPr>
            <w:rFonts w:asciiTheme="minorHAnsi" w:hAnsiTheme="minorHAnsi" w:cstheme="minorHAnsi"/>
            <w:noProof/>
            <w:webHidden/>
          </w:rPr>
          <w:fldChar w:fldCharType="separate"/>
        </w:r>
        <w:r w:rsidR="0096670A">
          <w:rPr>
            <w:rFonts w:asciiTheme="minorHAnsi" w:hAnsiTheme="minorHAnsi" w:cstheme="minorHAnsi"/>
            <w:noProof/>
            <w:webHidden/>
          </w:rPr>
          <w:t>28</w:t>
        </w:r>
        <w:r w:rsidRPr="0008057D">
          <w:rPr>
            <w:rFonts w:asciiTheme="minorHAnsi" w:hAnsiTheme="minorHAnsi" w:cstheme="minorHAnsi"/>
            <w:noProof/>
            <w:webHidden/>
          </w:rPr>
          <w:fldChar w:fldCharType="end"/>
        </w:r>
      </w:hyperlink>
    </w:p>
    <w:p w14:paraId="2B38C359" w14:textId="7E912567" w:rsidR="0008057D" w:rsidRPr="0008057D" w:rsidRDefault="0008057D">
      <w:pPr>
        <w:pStyle w:val="TableofFigures"/>
        <w:tabs>
          <w:tab w:val="right" w:leader="dot" w:pos="9629"/>
        </w:tabs>
        <w:rPr>
          <w:rFonts w:asciiTheme="minorHAnsi" w:eastAsiaTheme="minorEastAsia" w:hAnsiTheme="minorHAnsi" w:cstheme="minorHAnsi"/>
          <w:noProof/>
          <w:kern w:val="2"/>
          <w:sz w:val="22"/>
          <w:szCs w:val="22"/>
          <w:lang w:val="en-GB"/>
          <w14:ligatures w14:val="standardContextual"/>
        </w:rPr>
      </w:pPr>
      <w:hyperlink w:anchor="_Toc175223826" w:history="1">
        <w:r w:rsidRPr="0008057D">
          <w:rPr>
            <w:rStyle w:val="Hyperlink"/>
            <w:rFonts w:asciiTheme="minorHAnsi" w:hAnsiTheme="minorHAnsi" w:cstheme="minorHAnsi"/>
            <w:noProof/>
            <w:lang w:val="en-GB"/>
          </w:rPr>
          <w:t>Figure 11: List of data items collected to inform risk assessment during due diligence.</w:t>
        </w:r>
        <w:r w:rsidRPr="0008057D">
          <w:rPr>
            <w:rFonts w:asciiTheme="minorHAnsi" w:hAnsiTheme="minorHAnsi" w:cstheme="minorHAnsi"/>
            <w:noProof/>
            <w:webHidden/>
          </w:rPr>
          <w:tab/>
        </w:r>
        <w:r w:rsidRPr="0008057D">
          <w:rPr>
            <w:rFonts w:asciiTheme="minorHAnsi" w:hAnsiTheme="minorHAnsi" w:cstheme="minorHAnsi"/>
            <w:noProof/>
            <w:webHidden/>
          </w:rPr>
          <w:fldChar w:fldCharType="begin"/>
        </w:r>
        <w:r w:rsidRPr="0008057D">
          <w:rPr>
            <w:rFonts w:asciiTheme="minorHAnsi" w:hAnsiTheme="minorHAnsi" w:cstheme="minorHAnsi"/>
            <w:noProof/>
            <w:webHidden/>
          </w:rPr>
          <w:instrText xml:space="preserve"> PAGEREF _Toc175223826 \h </w:instrText>
        </w:r>
        <w:r w:rsidRPr="0008057D">
          <w:rPr>
            <w:rFonts w:asciiTheme="minorHAnsi" w:hAnsiTheme="minorHAnsi" w:cstheme="minorHAnsi"/>
            <w:noProof/>
            <w:webHidden/>
          </w:rPr>
        </w:r>
        <w:r w:rsidRPr="0008057D">
          <w:rPr>
            <w:rFonts w:asciiTheme="minorHAnsi" w:hAnsiTheme="minorHAnsi" w:cstheme="minorHAnsi"/>
            <w:noProof/>
            <w:webHidden/>
          </w:rPr>
          <w:fldChar w:fldCharType="separate"/>
        </w:r>
        <w:r w:rsidR="0096670A">
          <w:rPr>
            <w:rFonts w:asciiTheme="minorHAnsi" w:hAnsiTheme="minorHAnsi" w:cstheme="minorHAnsi"/>
            <w:noProof/>
            <w:webHidden/>
          </w:rPr>
          <w:t>29</w:t>
        </w:r>
        <w:r w:rsidRPr="0008057D">
          <w:rPr>
            <w:rFonts w:asciiTheme="minorHAnsi" w:hAnsiTheme="minorHAnsi" w:cstheme="minorHAnsi"/>
            <w:noProof/>
            <w:webHidden/>
          </w:rPr>
          <w:fldChar w:fldCharType="end"/>
        </w:r>
      </w:hyperlink>
    </w:p>
    <w:p w14:paraId="3BAB0287" w14:textId="51D7F2E3" w:rsidR="0008057D" w:rsidRPr="0008057D" w:rsidRDefault="0008057D">
      <w:pPr>
        <w:pStyle w:val="TableofFigures"/>
        <w:tabs>
          <w:tab w:val="right" w:leader="dot" w:pos="9629"/>
        </w:tabs>
        <w:rPr>
          <w:rFonts w:asciiTheme="minorHAnsi" w:eastAsiaTheme="minorEastAsia" w:hAnsiTheme="minorHAnsi" w:cstheme="minorHAnsi"/>
          <w:noProof/>
          <w:kern w:val="2"/>
          <w:sz w:val="22"/>
          <w:szCs w:val="22"/>
          <w:lang w:val="en-GB"/>
          <w14:ligatures w14:val="standardContextual"/>
        </w:rPr>
      </w:pPr>
      <w:hyperlink w:anchor="_Toc175223827" w:history="1">
        <w:r w:rsidRPr="0008057D">
          <w:rPr>
            <w:rStyle w:val="Hyperlink"/>
            <w:rFonts w:asciiTheme="minorHAnsi" w:hAnsiTheme="minorHAnsi" w:cstheme="minorHAnsi"/>
            <w:noProof/>
            <w:lang w:val="en-GB"/>
          </w:rPr>
          <w:t>Figure 12. TD Bank engagement topics for power and energy sector</w:t>
        </w:r>
        <w:r w:rsidRPr="0008057D">
          <w:rPr>
            <w:rFonts w:asciiTheme="minorHAnsi" w:hAnsiTheme="minorHAnsi" w:cstheme="minorHAnsi"/>
            <w:noProof/>
            <w:webHidden/>
          </w:rPr>
          <w:tab/>
        </w:r>
        <w:r w:rsidRPr="0008057D">
          <w:rPr>
            <w:rFonts w:asciiTheme="minorHAnsi" w:hAnsiTheme="minorHAnsi" w:cstheme="minorHAnsi"/>
            <w:noProof/>
            <w:webHidden/>
          </w:rPr>
          <w:fldChar w:fldCharType="begin"/>
        </w:r>
        <w:r w:rsidRPr="0008057D">
          <w:rPr>
            <w:rFonts w:asciiTheme="minorHAnsi" w:hAnsiTheme="minorHAnsi" w:cstheme="minorHAnsi"/>
            <w:noProof/>
            <w:webHidden/>
          </w:rPr>
          <w:instrText xml:space="preserve"> PAGEREF _Toc175223827 \h </w:instrText>
        </w:r>
        <w:r w:rsidRPr="0008057D">
          <w:rPr>
            <w:rFonts w:asciiTheme="minorHAnsi" w:hAnsiTheme="minorHAnsi" w:cstheme="minorHAnsi"/>
            <w:noProof/>
            <w:webHidden/>
          </w:rPr>
        </w:r>
        <w:r w:rsidRPr="0008057D">
          <w:rPr>
            <w:rFonts w:asciiTheme="minorHAnsi" w:hAnsiTheme="minorHAnsi" w:cstheme="minorHAnsi"/>
            <w:noProof/>
            <w:webHidden/>
          </w:rPr>
          <w:fldChar w:fldCharType="separate"/>
        </w:r>
        <w:r w:rsidR="0096670A">
          <w:rPr>
            <w:rFonts w:asciiTheme="minorHAnsi" w:hAnsiTheme="minorHAnsi" w:cstheme="minorHAnsi"/>
            <w:noProof/>
            <w:webHidden/>
          </w:rPr>
          <w:t>30</w:t>
        </w:r>
        <w:r w:rsidRPr="0008057D">
          <w:rPr>
            <w:rFonts w:asciiTheme="minorHAnsi" w:hAnsiTheme="minorHAnsi" w:cstheme="minorHAnsi"/>
            <w:noProof/>
            <w:webHidden/>
          </w:rPr>
          <w:fldChar w:fldCharType="end"/>
        </w:r>
      </w:hyperlink>
    </w:p>
    <w:p w14:paraId="2A8CBCAD" w14:textId="2C925DCC" w:rsidR="0008057D" w:rsidRPr="0008057D" w:rsidRDefault="0008057D">
      <w:pPr>
        <w:pStyle w:val="TableofFigures"/>
        <w:tabs>
          <w:tab w:val="right" w:leader="dot" w:pos="9629"/>
        </w:tabs>
        <w:rPr>
          <w:rFonts w:asciiTheme="minorHAnsi" w:eastAsiaTheme="minorEastAsia" w:hAnsiTheme="minorHAnsi" w:cstheme="minorHAnsi"/>
          <w:noProof/>
          <w:kern w:val="2"/>
          <w:sz w:val="22"/>
          <w:szCs w:val="22"/>
          <w:lang w:val="en-GB"/>
          <w14:ligatures w14:val="standardContextual"/>
        </w:rPr>
      </w:pPr>
      <w:hyperlink w:anchor="_Toc175223828" w:history="1">
        <w:r w:rsidRPr="0008057D">
          <w:rPr>
            <w:rStyle w:val="Hyperlink"/>
            <w:rFonts w:asciiTheme="minorHAnsi" w:hAnsiTheme="minorHAnsi" w:cstheme="minorHAnsi"/>
            <w:noProof/>
            <w:lang w:val="en-GB"/>
          </w:rPr>
          <w:t>Figure 13. BNP Paribas ESG assessment tool to identify, assess and monitor the performance and ESG risks of corporate clients by sector</w:t>
        </w:r>
        <w:r w:rsidRPr="0008057D">
          <w:rPr>
            <w:rFonts w:asciiTheme="minorHAnsi" w:hAnsiTheme="minorHAnsi" w:cstheme="minorHAnsi"/>
            <w:noProof/>
            <w:webHidden/>
          </w:rPr>
          <w:tab/>
        </w:r>
        <w:r w:rsidRPr="0008057D">
          <w:rPr>
            <w:rFonts w:asciiTheme="minorHAnsi" w:hAnsiTheme="minorHAnsi" w:cstheme="minorHAnsi"/>
            <w:noProof/>
            <w:webHidden/>
          </w:rPr>
          <w:fldChar w:fldCharType="begin"/>
        </w:r>
        <w:r w:rsidRPr="0008057D">
          <w:rPr>
            <w:rFonts w:asciiTheme="minorHAnsi" w:hAnsiTheme="minorHAnsi" w:cstheme="minorHAnsi"/>
            <w:noProof/>
            <w:webHidden/>
          </w:rPr>
          <w:instrText xml:space="preserve"> PAGEREF _Toc175223828 \h </w:instrText>
        </w:r>
        <w:r w:rsidRPr="0008057D">
          <w:rPr>
            <w:rFonts w:asciiTheme="minorHAnsi" w:hAnsiTheme="minorHAnsi" w:cstheme="minorHAnsi"/>
            <w:noProof/>
            <w:webHidden/>
          </w:rPr>
        </w:r>
        <w:r w:rsidRPr="0008057D">
          <w:rPr>
            <w:rFonts w:asciiTheme="minorHAnsi" w:hAnsiTheme="minorHAnsi" w:cstheme="minorHAnsi"/>
            <w:noProof/>
            <w:webHidden/>
          </w:rPr>
          <w:fldChar w:fldCharType="separate"/>
        </w:r>
        <w:r w:rsidR="0096670A">
          <w:rPr>
            <w:rFonts w:asciiTheme="minorHAnsi" w:hAnsiTheme="minorHAnsi" w:cstheme="minorHAnsi"/>
            <w:noProof/>
            <w:webHidden/>
          </w:rPr>
          <w:t>30</w:t>
        </w:r>
        <w:r w:rsidRPr="0008057D">
          <w:rPr>
            <w:rFonts w:asciiTheme="minorHAnsi" w:hAnsiTheme="minorHAnsi" w:cstheme="minorHAnsi"/>
            <w:noProof/>
            <w:webHidden/>
          </w:rPr>
          <w:fldChar w:fldCharType="end"/>
        </w:r>
      </w:hyperlink>
    </w:p>
    <w:p w14:paraId="742F0532" w14:textId="591D2619" w:rsidR="0008057D" w:rsidRPr="0008057D" w:rsidRDefault="0008057D">
      <w:pPr>
        <w:pStyle w:val="TableofFigures"/>
        <w:tabs>
          <w:tab w:val="right" w:leader="dot" w:pos="9629"/>
        </w:tabs>
        <w:rPr>
          <w:rFonts w:asciiTheme="minorHAnsi" w:eastAsiaTheme="minorEastAsia" w:hAnsiTheme="minorHAnsi" w:cstheme="minorHAnsi"/>
          <w:noProof/>
          <w:kern w:val="2"/>
          <w:sz w:val="22"/>
          <w:szCs w:val="22"/>
          <w:lang w:val="en-GB"/>
          <w14:ligatures w14:val="standardContextual"/>
        </w:rPr>
      </w:pPr>
      <w:hyperlink w:anchor="_Toc175223829" w:history="1">
        <w:r w:rsidRPr="0008057D">
          <w:rPr>
            <w:rStyle w:val="Hyperlink"/>
            <w:rFonts w:asciiTheme="minorHAnsi" w:hAnsiTheme="minorHAnsi" w:cstheme="minorHAnsi"/>
            <w:noProof/>
            <w:lang w:val="en-GB"/>
          </w:rPr>
          <w:t>Figure 14. NatWest Sample of Financed Emissions and Carbon Intensity</w:t>
        </w:r>
        <w:r w:rsidRPr="0008057D">
          <w:rPr>
            <w:rFonts w:asciiTheme="minorHAnsi" w:hAnsiTheme="minorHAnsi" w:cstheme="minorHAnsi"/>
            <w:noProof/>
            <w:webHidden/>
          </w:rPr>
          <w:tab/>
        </w:r>
        <w:r w:rsidRPr="0008057D">
          <w:rPr>
            <w:rFonts w:asciiTheme="minorHAnsi" w:hAnsiTheme="minorHAnsi" w:cstheme="minorHAnsi"/>
            <w:noProof/>
            <w:webHidden/>
          </w:rPr>
          <w:fldChar w:fldCharType="begin"/>
        </w:r>
        <w:r w:rsidRPr="0008057D">
          <w:rPr>
            <w:rFonts w:asciiTheme="minorHAnsi" w:hAnsiTheme="minorHAnsi" w:cstheme="minorHAnsi"/>
            <w:noProof/>
            <w:webHidden/>
          </w:rPr>
          <w:instrText xml:space="preserve"> PAGEREF _Toc175223829 \h </w:instrText>
        </w:r>
        <w:r w:rsidRPr="0008057D">
          <w:rPr>
            <w:rFonts w:asciiTheme="minorHAnsi" w:hAnsiTheme="minorHAnsi" w:cstheme="minorHAnsi"/>
            <w:noProof/>
            <w:webHidden/>
          </w:rPr>
        </w:r>
        <w:r w:rsidRPr="0008057D">
          <w:rPr>
            <w:rFonts w:asciiTheme="minorHAnsi" w:hAnsiTheme="minorHAnsi" w:cstheme="minorHAnsi"/>
            <w:noProof/>
            <w:webHidden/>
          </w:rPr>
          <w:fldChar w:fldCharType="separate"/>
        </w:r>
        <w:r w:rsidR="0096670A">
          <w:rPr>
            <w:rFonts w:asciiTheme="minorHAnsi" w:hAnsiTheme="minorHAnsi" w:cstheme="minorHAnsi"/>
            <w:noProof/>
            <w:webHidden/>
          </w:rPr>
          <w:t>32</w:t>
        </w:r>
        <w:r w:rsidRPr="0008057D">
          <w:rPr>
            <w:rFonts w:asciiTheme="minorHAnsi" w:hAnsiTheme="minorHAnsi" w:cstheme="minorHAnsi"/>
            <w:noProof/>
            <w:webHidden/>
          </w:rPr>
          <w:fldChar w:fldCharType="end"/>
        </w:r>
      </w:hyperlink>
    </w:p>
    <w:p w14:paraId="4AE752E3" w14:textId="419DB088" w:rsidR="0008057D" w:rsidRPr="0008057D" w:rsidRDefault="0008057D">
      <w:pPr>
        <w:pStyle w:val="TableofFigures"/>
        <w:tabs>
          <w:tab w:val="right" w:leader="dot" w:pos="9629"/>
        </w:tabs>
        <w:rPr>
          <w:rFonts w:asciiTheme="minorHAnsi" w:eastAsiaTheme="minorEastAsia" w:hAnsiTheme="minorHAnsi" w:cstheme="minorHAnsi"/>
          <w:noProof/>
          <w:kern w:val="2"/>
          <w:sz w:val="22"/>
          <w:szCs w:val="22"/>
          <w:lang w:val="en-GB"/>
          <w14:ligatures w14:val="standardContextual"/>
        </w:rPr>
      </w:pPr>
      <w:hyperlink w:anchor="_Toc175223830" w:history="1">
        <w:r w:rsidRPr="0008057D">
          <w:rPr>
            <w:rStyle w:val="Hyperlink"/>
            <w:rFonts w:asciiTheme="minorHAnsi" w:hAnsiTheme="minorHAnsi" w:cstheme="minorHAnsi"/>
            <w:noProof/>
            <w:lang w:val="en-GB"/>
          </w:rPr>
          <w:t>Figure 15. Barclays’ green financing commitments and progress toward 2030 goal</w:t>
        </w:r>
        <w:r w:rsidRPr="0008057D">
          <w:rPr>
            <w:rFonts w:asciiTheme="minorHAnsi" w:hAnsiTheme="minorHAnsi" w:cstheme="minorHAnsi"/>
            <w:noProof/>
            <w:webHidden/>
          </w:rPr>
          <w:tab/>
        </w:r>
        <w:r w:rsidRPr="0008057D">
          <w:rPr>
            <w:rFonts w:asciiTheme="minorHAnsi" w:hAnsiTheme="minorHAnsi" w:cstheme="minorHAnsi"/>
            <w:noProof/>
            <w:webHidden/>
          </w:rPr>
          <w:fldChar w:fldCharType="begin"/>
        </w:r>
        <w:r w:rsidRPr="0008057D">
          <w:rPr>
            <w:rFonts w:asciiTheme="minorHAnsi" w:hAnsiTheme="minorHAnsi" w:cstheme="minorHAnsi"/>
            <w:noProof/>
            <w:webHidden/>
          </w:rPr>
          <w:instrText xml:space="preserve"> PAGEREF _Toc175223830 \h </w:instrText>
        </w:r>
        <w:r w:rsidRPr="0008057D">
          <w:rPr>
            <w:rFonts w:asciiTheme="minorHAnsi" w:hAnsiTheme="minorHAnsi" w:cstheme="minorHAnsi"/>
            <w:noProof/>
            <w:webHidden/>
          </w:rPr>
        </w:r>
        <w:r w:rsidRPr="0008057D">
          <w:rPr>
            <w:rFonts w:asciiTheme="minorHAnsi" w:hAnsiTheme="minorHAnsi" w:cstheme="minorHAnsi"/>
            <w:noProof/>
            <w:webHidden/>
          </w:rPr>
          <w:fldChar w:fldCharType="separate"/>
        </w:r>
        <w:r w:rsidR="0096670A">
          <w:rPr>
            <w:rFonts w:asciiTheme="minorHAnsi" w:hAnsiTheme="minorHAnsi" w:cstheme="minorHAnsi"/>
            <w:noProof/>
            <w:webHidden/>
          </w:rPr>
          <w:t>33</w:t>
        </w:r>
        <w:r w:rsidRPr="0008057D">
          <w:rPr>
            <w:rFonts w:asciiTheme="minorHAnsi" w:hAnsiTheme="minorHAnsi" w:cstheme="minorHAnsi"/>
            <w:noProof/>
            <w:webHidden/>
          </w:rPr>
          <w:fldChar w:fldCharType="end"/>
        </w:r>
      </w:hyperlink>
    </w:p>
    <w:p w14:paraId="7FB2D8F7" w14:textId="2763B4E5" w:rsidR="006C78A6" w:rsidRPr="0008057D" w:rsidRDefault="006C78A6" w:rsidP="006F183D">
      <w:pPr>
        <w:spacing w:line="276" w:lineRule="auto"/>
        <w:outlineLvl w:val="0"/>
        <w:rPr>
          <w:rFonts w:asciiTheme="minorHAnsi" w:hAnsiTheme="minorHAnsi" w:cstheme="minorHAnsi"/>
          <w:lang w:val="en-GB"/>
        </w:rPr>
      </w:pPr>
      <w:r w:rsidRPr="0008057D">
        <w:rPr>
          <w:rFonts w:asciiTheme="minorHAnsi" w:hAnsiTheme="minorHAnsi" w:cstheme="minorHAnsi"/>
          <w:sz w:val="22"/>
          <w:szCs w:val="22"/>
          <w:lang w:val="en-GB"/>
        </w:rPr>
        <w:fldChar w:fldCharType="end"/>
      </w:r>
    </w:p>
    <w:p w14:paraId="1DD44105" w14:textId="07C8CCD8" w:rsidR="006E54D9" w:rsidRPr="0008057D" w:rsidRDefault="006E54D9">
      <w:pPr>
        <w:rPr>
          <w:rFonts w:asciiTheme="minorHAnsi" w:hAnsiTheme="minorHAnsi" w:cstheme="minorHAnsi"/>
          <w:b/>
          <w:lang w:val="en-GB"/>
        </w:rPr>
      </w:pPr>
      <w:r w:rsidRPr="0008057D">
        <w:rPr>
          <w:rFonts w:asciiTheme="minorHAnsi" w:hAnsiTheme="minorHAnsi" w:cstheme="minorHAnsi"/>
          <w:b/>
          <w:lang w:val="en-GB"/>
        </w:rPr>
        <w:br w:type="page"/>
      </w:r>
    </w:p>
    <w:p w14:paraId="3D673570" w14:textId="4477B3EF" w:rsidR="006C78A6" w:rsidRDefault="00613B98" w:rsidP="009F39C3">
      <w:pPr>
        <w:outlineLvl w:val="0"/>
        <w:rPr>
          <w:rFonts w:ascii="Calibri" w:hAnsi="Calibri" w:cs="Calibri"/>
          <w:b/>
          <w:lang w:val="en-GB"/>
        </w:rPr>
      </w:pPr>
      <w:bookmarkStart w:id="4" w:name="_Toc171908176"/>
      <w:r w:rsidRPr="00613B98">
        <w:rPr>
          <w:rFonts w:ascii="Calibri" w:hAnsi="Calibri" w:cs="Calibri"/>
          <w:b/>
          <w:lang w:val="en-GB"/>
        </w:rPr>
        <w:lastRenderedPageBreak/>
        <w:t>List of abbreviations</w:t>
      </w:r>
      <w:bookmarkEnd w:id="4"/>
    </w:p>
    <w:p w14:paraId="5647AE81" w14:textId="77777777" w:rsidR="00B7558A" w:rsidRPr="00B7558A" w:rsidRDefault="00B7558A" w:rsidP="00B7558A">
      <w:pPr>
        <w:rPr>
          <w:rFonts w:asciiTheme="minorHAnsi" w:hAnsiTheme="minorHAnsi" w:cstheme="minorHAnsi"/>
          <w:lang w:val="en-GB"/>
        </w:rPr>
      </w:pPr>
    </w:p>
    <w:p w14:paraId="431E5A3F" w14:textId="77777777" w:rsidR="00B7558A" w:rsidRPr="0058194F" w:rsidRDefault="00B7558A" w:rsidP="0058194F">
      <w:pPr>
        <w:rPr>
          <w:rFonts w:ascii="Calibri" w:hAnsi="Calibri" w:cs="Calibri"/>
          <w:lang w:val="en-GB"/>
        </w:rPr>
      </w:pPr>
      <w:r w:rsidRPr="0058194F">
        <w:rPr>
          <w:rFonts w:ascii="Calibri" w:hAnsi="Calibri" w:cs="Calibri"/>
          <w:lang w:val="en-GB"/>
        </w:rPr>
        <w:t>BCBS</w:t>
      </w:r>
      <w:r w:rsidRPr="0058194F">
        <w:rPr>
          <w:rFonts w:ascii="Calibri" w:hAnsi="Calibri" w:cs="Calibri"/>
          <w:lang w:val="en-GB"/>
        </w:rPr>
        <w:tab/>
      </w:r>
      <w:r w:rsidRPr="0058194F">
        <w:rPr>
          <w:rFonts w:ascii="Calibri" w:hAnsi="Calibri" w:cs="Calibri"/>
          <w:lang w:val="en-GB"/>
        </w:rPr>
        <w:tab/>
        <w:t>Basel Committee on Banking Supervision</w:t>
      </w:r>
    </w:p>
    <w:p w14:paraId="7E78FD06" w14:textId="77777777" w:rsidR="00B7558A" w:rsidRPr="0058194F" w:rsidRDefault="00B7558A" w:rsidP="0058194F">
      <w:pPr>
        <w:rPr>
          <w:rFonts w:ascii="Calibri" w:hAnsi="Calibri" w:cs="Calibri"/>
          <w:lang w:val="en-GB"/>
        </w:rPr>
      </w:pPr>
    </w:p>
    <w:p w14:paraId="028FBCBB" w14:textId="77777777" w:rsidR="00B7558A" w:rsidRPr="0058194F" w:rsidRDefault="00B7558A" w:rsidP="0058194F">
      <w:pPr>
        <w:rPr>
          <w:rFonts w:ascii="Calibri" w:hAnsi="Calibri" w:cs="Calibri"/>
          <w:lang w:val="en-GB"/>
        </w:rPr>
      </w:pPr>
      <w:r w:rsidRPr="0058194F">
        <w:rPr>
          <w:rFonts w:ascii="Calibri" w:hAnsi="Calibri" w:cs="Calibri"/>
          <w:lang w:val="en-GB"/>
        </w:rPr>
        <w:t xml:space="preserve">CBK </w:t>
      </w:r>
      <w:r w:rsidRPr="0058194F">
        <w:rPr>
          <w:rFonts w:ascii="Calibri" w:hAnsi="Calibri" w:cs="Calibri"/>
          <w:lang w:val="en-GB"/>
        </w:rPr>
        <w:tab/>
      </w:r>
      <w:r w:rsidRPr="0058194F">
        <w:rPr>
          <w:rFonts w:ascii="Calibri" w:hAnsi="Calibri" w:cs="Calibri"/>
          <w:lang w:val="en-GB"/>
        </w:rPr>
        <w:tab/>
        <w:t>Central Bank of Kenya</w:t>
      </w:r>
    </w:p>
    <w:p w14:paraId="5F47F4A0" w14:textId="77777777" w:rsidR="00B7558A" w:rsidRPr="0058194F" w:rsidRDefault="00B7558A" w:rsidP="0058194F">
      <w:pPr>
        <w:rPr>
          <w:rFonts w:ascii="Calibri" w:hAnsi="Calibri" w:cs="Calibri"/>
          <w:lang w:val="en-GB"/>
        </w:rPr>
      </w:pPr>
    </w:p>
    <w:p w14:paraId="66807BC9" w14:textId="77777777" w:rsidR="00B7558A" w:rsidRPr="0058194F" w:rsidRDefault="00B7558A" w:rsidP="0058194F">
      <w:pPr>
        <w:rPr>
          <w:rFonts w:ascii="Calibri" w:hAnsi="Calibri" w:cs="Calibri"/>
          <w:lang w:val="en-GB"/>
        </w:rPr>
      </w:pPr>
      <w:r w:rsidRPr="0058194F">
        <w:rPr>
          <w:rFonts w:ascii="Calibri" w:hAnsi="Calibri" w:cs="Calibri"/>
          <w:lang w:val="en-GB"/>
        </w:rPr>
        <w:t>ECB</w:t>
      </w:r>
      <w:r w:rsidRPr="0058194F">
        <w:rPr>
          <w:rFonts w:ascii="Calibri" w:hAnsi="Calibri" w:cs="Calibri"/>
          <w:lang w:val="en-GB"/>
        </w:rPr>
        <w:tab/>
      </w:r>
      <w:r w:rsidRPr="0058194F">
        <w:rPr>
          <w:rFonts w:ascii="Calibri" w:hAnsi="Calibri" w:cs="Calibri"/>
          <w:lang w:val="en-GB"/>
        </w:rPr>
        <w:tab/>
        <w:t>European Central Bank</w:t>
      </w:r>
    </w:p>
    <w:p w14:paraId="6A19C0CF" w14:textId="77777777" w:rsidR="00B7558A" w:rsidRPr="0058194F" w:rsidRDefault="00B7558A" w:rsidP="0058194F">
      <w:pPr>
        <w:rPr>
          <w:rFonts w:ascii="Calibri" w:hAnsi="Calibri" w:cs="Calibri"/>
          <w:lang w:val="en-GB"/>
        </w:rPr>
      </w:pPr>
    </w:p>
    <w:p w14:paraId="7906A986" w14:textId="77777777" w:rsidR="00B7558A" w:rsidRPr="0058194F" w:rsidRDefault="00B7558A" w:rsidP="0058194F">
      <w:pPr>
        <w:rPr>
          <w:rFonts w:ascii="Calibri" w:hAnsi="Calibri" w:cs="Calibri"/>
          <w:lang w:val="en-GB"/>
        </w:rPr>
      </w:pPr>
      <w:r w:rsidRPr="0058194F">
        <w:rPr>
          <w:rFonts w:ascii="Calibri" w:hAnsi="Calibri" w:cs="Calibri"/>
          <w:lang w:val="en-GB"/>
        </w:rPr>
        <w:t>ESG</w:t>
      </w:r>
      <w:r w:rsidRPr="0058194F">
        <w:rPr>
          <w:rFonts w:ascii="Calibri" w:hAnsi="Calibri" w:cs="Calibri"/>
          <w:lang w:val="en-GB"/>
        </w:rPr>
        <w:tab/>
      </w:r>
      <w:r w:rsidRPr="0058194F">
        <w:rPr>
          <w:rFonts w:ascii="Calibri" w:hAnsi="Calibri" w:cs="Calibri"/>
          <w:lang w:val="en-GB"/>
        </w:rPr>
        <w:tab/>
        <w:t>Environmental, Social, and Governance</w:t>
      </w:r>
    </w:p>
    <w:p w14:paraId="0FA28234" w14:textId="77777777" w:rsidR="00B7558A" w:rsidRPr="0058194F" w:rsidRDefault="00B7558A" w:rsidP="0058194F">
      <w:pPr>
        <w:rPr>
          <w:rFonts w:ascii="Calibri" w:hAnsi="Calibri" w:cs="Calibri"/>
          <w:lang w:val="en-GB"/>
        </w:rPr>
      </w:pPr>
    </w:p>
    <w:p w14:paraId="6869B691" w14:textId="77777777" w:rsidR="00B7558A" w:rsidRPr="0058194F" w:rsidRDefault="00B7558A" w:rsidP="0058194F">
      <w:pPr>
        <w:rPr>
          <w:rFonts w:ascii="Calibri" w:hAnsi="Calibri" w:cs="Calibri"/>
          <w:lang w:val="en-GB"/>
        </w:rPr>
      </w:pPr>
      <w:r w:rsidRPr="0058194F">
        <w:rPr>
          <w:rFonts w:ascii="Calibri" w:hAnsi="Calibri" w:cs="Calibri"/>
          <w:lang w:val="en-GB"/>
        </w:rPr>
        <w:t>GHG</w:t>
      </w:r>
      <w:r w:rsidRPr="0058194F">
        <w:rPr>
          <w:rFonts w:ascii="Calibri" w:hAnsi="Calibri" w:cs="Calibri"/>
          <w:lang w:val="en-GB"/>
        </w:rPr>
        <w:tab/>
      </w:r>
      <w:r w:rsidRPr="0058194F">
        <w:rPr>
          <w:rFonts w:ascii="Calibri" w:hAnsi="Calibri" w:cs="Calibri"/>
          <w:lang w:val="en-GB"/>
        </w:rPr>
        <w:tab/>
        <w:t>Greenhouse Gas</w:t>
      </w:r>
    </w:p>
    <w:p w14:paraId="3A8DC2ED" w14:textId="77777777" w:rsidR="00B7558A" w:rsidRPr="0058194F" w:rsidRDefault="00B7558A" w:rsidP="0058194F">
      <w:pPr>
        <w:rPr>
          <w:rFonts w:ascii="Calibri" w:hAnsi="Calibri" w:cs="Calibri"/>
          <w:lang w:val="en-GB"/>
        </w:rPr>
      </w:pPr>
    </w:p>
    <w:p w14:paraId="6B7BC74D" w14:textId="77777777" w:rsidR="00B7558A" w:rsidRPr="0058194F" w:rsidRDefault="00B7558A" w:rsidP="0058194F">
      <w:pPr>
        <w:rPr>
          <w:rFonts w:ascii="Calibri" w:hAnsi="Calibri" w:cs="Calibri"/>
          <w:lang w:val="en-GB"/>
        </w:rPr>
      </w:pPr>
      <w:r w:rsidRPr="0058194F">
        <w:rPr>
          <w:rFonts w:ascii="Calibri" w:hAnsi="Calibri" w:cs="Calibri"/>
          <w:lang w:val="en-GB"/>
        </w:rPr>
        <w:t>IFRS</w:t>
      </w:r>
      <w:r w:rsidRPr="0058194F">
        <w:rPr>
          <w:rFonts w:ascii="Calibri" w:hAnsi="Calibri" w:cs="Calibri"/>
          <w:lang w:val="en-GB"/>
        </w:rPr>
        <w:tab/>
      </w:r>
      <w:r w:rsidRPr="0058194F">
        <w:rPr>
          <w:rFonts w:ascii="Calibri" w:hAnsi="Calibri" w:cs="Calibri"/>
          <w:lang w:val="en-GB"/>
        </w:rPr>
        <w:tab/>
        <w:t>International Financial Reporting Standards</w:t>
      </w:r>
    </w:p>
    <w:p w14:paraId="0699C093" w14:textId="77777777" w:rsidR="00B7558A" w:rsidRPr="0058194F" w:rsidRDefault="00B7558A" w:rsidP="0058194F">
      <w:pPr>
        <w:rPr>
          <w:rFonts w:ascii="Calibri" w:hAnsi="Calibri" w:cs="Calibri"/>
          <w:lang w:val="en-GB"/>
        </w:rPr>
      </w:pPr>
    </w:p>
    <w:p w14:paraId="537D7495" w14:textId="77777777" w:rsidR="00B7558A" w:rsidRPr="0058194F" w:rsidRDefault="00B7558A" w:rsidP="0058194F">
      <w:pPr>
        <w:rPr>
          <w:rFonts w:ascii="Calibri" w:hAnsi="Calibri" w:cs="Calibri"/>
          <w:lang w:val="en-GB"/>
        </w:rPr>
      </w:pPr>
      <w:r w:rsidRPr="0058194F">
        <w:rPr>
          <w:rFonts w:ascii="Calibri" w:hAnsi="Calibri" w:cs="Calibri"/>
          <w:lang w:val="en-GB"/>
        </w:rPr>
        <w:t>KCRI</w:t>
      </w:r>
      <w:r w:rsidRPr="0058194F">
        <w:rPr>
          <w:rFonts w:ascii="Calibri" w:hAnsi="Calibri" w:cs="Calibri"/>
          <w:lang w:val="en-GB"/>
        </w:rPr>
        <w:tab/>
      </w:r>
      <w:r w:rsidRPr="0058194F">
        <w:rPr>
          <w:rFonts w:ascii="Calibri" w:hAnsi="Calibri" w:cs="Calibri"/>
          <w:lang w:val="en-GB"/>
        </w:rPr>
        <w:tab/>
        <w:t>Key Climate Risk Indicator</w:t>
      </w:r>
    </w:p>
    <w:p w14:paraId="0EEE6647" w14:textId="77777777" w:rsidR="00B7558A" w:rsidRPr="0058194F" w:rsidRDefault="00B7558A" w:rsidP="0058194F">
      <w:pPr>
        <w:rPr>
          <w:rFonts w:ascii="Calibri" w:hAnsi="Calibri" w:cs="Calibri"/>
          <w:lang w:val="en-GB"/>
        </w:rPr>
      </w:pPr>
    </w:p>
    <w:p w14:paraId="6AD665B7" w14:textId="77777777" w:rsidR="00B7558A" w:rsidRPr="0058194F" w:rsidRDefault="00B7558A" w:rsidP="0058194F">
      <w:pPr>
        <w:rPr>
          <w:rFonts w:ascii="Calibri" w:hAnsi="Calibri" w:cs="Calibri"/>
          <w:lang w:val="en-GB"/>
        </w:rPr>
      </w:pPr>
      <w:r w:rsidRPr="0058194F">
        <w:rPr>
          <w:rFonts w:ascii="Calibri" w:hAnsi="Calibri" w:cs="Calibri"/>
          <w:lang w:val="en-GB"/>
        </w:rPr>
        <w:t>KPI</w:t>
      </w:r>
      <w:r w:rsidRPr="0058194F">
        <w:rPr>
          <w:rFonts w:ascii="Calibri" w:hAnsi="Calibri" w:cs="Calibri"/>
          <w:lang w:val="en-GB"/>
        </w:rPr>
        <w:tab/>
      </w:r>
      <w:r w:rsidRPr="0058194F">
        <w:rPr>
          <w:rFonts w:ascii="Calibri" w:hAnsi="Calibri" w:cs="Calibri"/>
          <w:lang w:val="en-GB"/>
        </w:rPr>
        <w:tab/>
        <w:t>Key Performance Indicator</w:t>
      </w:r>
    </w:p>
    <w:p w14:paraId="3E0918F6" w14:textId="77777777" w:rsidR="00B7558A" w:rsidRPr="0058194F" w:rsidRDefault="00B7558A" w:rsidP="0058194F">
      <w:pPr>
        <w:rPr>
          <w:rFonts w:ascii="Calibri" w:hAnsi="Calibri" w:cs="Calibri"/>
          <w:lang w:val="en-GB"/>
        </w:rPr>
      </w:pPr>
    </w:p>
    <w:p w14:paraId="7E0F7C64" w14:textId="15C6B018" w:rsidR="00B7558A" w:rsidRPr="0058194F" w:rsidRDefault="00B7558A" w:rsidP="0058194F">
      <w:pPr>
        <w:rPr>
          <w:rFonts w:ascii="Calibri" w:hAnsi="Calibri" w:cs="Calibri"/>
          <w:lang w:val="en-GB"/>
        </w:rPr>
      </w:pPr>
      <w:r w:rsidRPr="0058194F">
        <w:rPr>
          <w:rFonts w:ascii="Calibri" w:hAnsi="Calibri" w:cs="Calibri"/>
          <w:lang w:val="en-GB"/>
        </w:rPr>
        <w:t>KCRI</w:t>
      </w:r>
      <w:r w:rsidRPr="0058194F">
        <w:rPr>
          <w:rFonts w:ascii="Calibri" w:hAnsi="Calibri" w:cs="Calibri"/>
          <w:lang w:val="en-GB"/>
        </w:rPr>
        <w:tab/>
      </w:r>
      <w:r w:rsidRPr="0058194F">
        <w:rPr>
          <w:rFonts w:ascii="Calibri" w:hAnsi="Calibri" w:cs="Calibri"/>
          <w:lang w:val="en-GB"/>
        </w:rPr>
        <w:tab/>
        <w:t>Key Climate Risk Indicator</w:t>
      </w:r>
    </w:p>
    <w:p w14:paraId="3323FF2A" w14:textId="77777777" w:rsidR="00B7558A" w:rsidRPr="0058194F" w:rsidRDefault="00B7558A" w:rsidP="0058194F">
      <w:pPr>
        <w:rPr>
          <w:rFonts w:ascii="Calibri" w:hAnsi="Calibri" w:cs="Calibri"/>
          <w:lang w:val="en-GB"/>
        </w:rPr>
      </w:pPr>
    </w:p>
    <w:p w14:paraId="0700CB66" w14:textId="77777777" w:rsidR="00B7558A" w:rsidRPr="0058194F" w:rsidRDefault="00B7558A" w:rsidP="0058194F">
      <w:pPr>
        <w:rPr>
          <w:rFonts w:ascii="Calibri" w:hAnsi="Calibri" w:cs="Calibri"/>
          <w:lang w:val="en-GB"/>
        </w:rPr>
      </w:pPr>
      <w:r w:rsidRPr="0058194F">
        <w:rPr>
          <w:rFonts w:ascii="Calibri" w:hAnsi="Calibri" w:cs="Calibri"/>
          <w:lang w:val="en-GB"/>
        </w:rPr>
        <w:t>LT-LEDS</w:t>
      </w:r>
      <w:r w:rsidRPr="0058194F">
        <w:rPr>
          <w:rFonts w:ascii="Calibri" w:hAnsi="Calibri" w:cs="Calibri"/>
          <w:lang w:val="en-GB"/>
        </w:rPr>
        <w:tab/>
        <w:t>Long-term Low Emission Development Strategies</w:t>
      </w:r>
    </w:p>
    <w:p w14:paraId="4487B310" w14:textId="77777777" w:rsidR="00B7558A" w:rsidRPr="0058194F" w:rsidRDefault="00B7558A" w:rsidP="0058194F">
      <w:pPr>
        <w:rPr>
          <w:rFonts w:ascii="Calibri" w:hAnsi="Calibri" w:cs="Calibri"/>
          <w:lang w:val="en-GB"/>
        </w:rPr>
      </w:pPr>
    </w:p>
    <w:p w14:paraId="24ED50B2" w14:textId="77777777" w:rsidR="00B7558A" w:rsidRPr="0058194F" w:rsidRDefault="00B7558A" w:rsidP="0058194F">
      <w:pPr>
        <w:rPr>
          <w:rFonts w:ascii="Calibri" w:hAnsi="Calibri" w:cs="Calibri"/>
          <w:lang w:val="en-GB"/>
        </w:rPr>
      </w:pPr>
      <w:r w:rsidRPr="0058194F">
        <w:rPr>
          <w:rFonts w:ascii="Calibri" w:hAnsi="Calibri" w:cs="Calibri"/>
          <w:lang w:val="en-GB"/>
        </w:rPr>
        <w:t>NGFS</w:t>
      </w:r>
      <w:r w:rsidRPr="0058194F">
        <w:rPr>
          <w:rFonts w:ascii="Calibri" w:hAnsi="Calibri" w:cs="Calibri"/>
          <w:lang w:val="en-GB"/>
        </w:rPr>
        <w:tab/>
      </w:r>
      <w:r w:rsidRPr="0058194F">
        <w:rPr>
          <w:rFonts w:ascii="Calibri" w:hAnsi="Calibri" w:cs="Calibri"/>
          <w:lang w:val="en-GB"/>
        </w:rPr>
        <w:tab/>
        <w:t>Network for Greening the Financial System</w:t>
      </w:r>
    </w:p>
    <w:p w14:paraId="3F3D7503" w14:textId="77777777" w:rsidR="00B7558A" w:rsidRPr="0058194F" w:rsidRDefault="00B7558A" w:rsidP="0058194F">
      <w:pPr>
        <w:rPr>
          <w:rFonts w:ascii="Calibri" w:hAnsi="Calibri" w:cs="Calibri"/>
          <w:lang w:val="en-GB"/>
        </w:rPr>
      </w:pPr>
    </w:p>
    <w:p w14:paraId="33BEBE58" w14:textId="77777777" w:rsidR="00B7558A" w:rsidRPr="0058194F" w:rsidRDefault="00B7558A" w:rsidP="0058194F">
      <w:pPr>
        <w:rPr>
          <w:rFonts w:ascii="Calibri" w:hAnsi="Calibri" w:cs="Calibri"/>
          <w:lang w:val="en-GB"/>
        </w:rPr>
      </w:pPr>
      <w:r w:rsidRPr="0058194F">
        <w:rPr>
          <w:rFonts w:ascii="Calibri" w:hAnsi="Calibri" w:cs="Calibri"/>
          <w:lang w:val="en-GB"/>
        </w:rPr>
        <w:t>PCAF</w:t>
      </w:r>
      <w:r w:rsidRPr="0058194F">
        <w:rPr>
          <w:rFonts w:ascii="Calibri" w:hAnsi="Calibri" w:cs="Calibri"/>
          <w:lang w:val="en-GB"/>
        </w:rPr>
        <w:tab/>
      </w:r>
      <w:r w:rsidRPr="0058194F">
        <w:rPr>
          <w:rFonts w:ascii="Calibri" w:hAnsi="Calibri" w:cs="Calibri"/>
          <w:lang w:val="en-GB"/>
        </w:rPr>
        <w:tab/>
        <w:t>Partnership for Carbon Accounting Financials</w:t>
      </w:r>
    </w:p>
    <w:p w14:paraId="37991009" w14:textId="77777777" w:rsidR="00B7558A" w:rsidRPr="0058194F" w:rsidRDefault="00B7558A" w:rsidP="0058194F">
      <w:pPr>
        <w:rPr>
          <w:rFonts w:ascii="Calibri" w:hAnsi="Calibri" w:cs="Calibri"/>
          <w:lang w:val="en-GB"/>
        </w:rPr>
      </w:pPr>
    </w:p>
    <w:p w14:paraId="0608E97D" w14:textId="77777777" w:rsidR="00B7558A" w:rsidRPr="0058194F" w:rsidRDefault="00B7558A" w:rsidP="0058194F">
      <w:pPr>
        <w:rPr>
          <w:rFonts w:ascii="Calibri" w:hAnsi="Calibri" w:cs="Calibri"/>
          <w:lang w:val="en-GB"/>
        </w:rPr>
      </w:pPr>
      <w:r w:rsidRPr="0058194F">
        <w:rPr>
          <w:rFonts w:ascii="Calibri" w:hAnsi="Calibri" w:cs="Calibri"/>
          <w:lang w:val="en-GB"/>
        </w:rPr>
        <w:t>RCP</w:t>
      </w:r>
      <w:r w:rsidRPr="0058194F">
        <w:rPr>
          <w:rFonts w:ascii="Calibri" w:hAnsi="Calibri" w:cs="Calibri"/>
          <w:lang w:val="en-GB"/>
        </w:rPr>
        <w:tab/>
      </w:r>
      <w:r w:rsidRPr="0058194F">
        <w:rPr>
          <w:rFonts w:ascii="Calibri" w:hAnsi="Calibri" w:cs="Calibri"/>
          <w:lang w:val="en-GB"/>
        </w:rPr>
        <w:tab/>
        <w:t>Representative Concentration Pathway</w:t>
      </w:r>
    </w:p>
    <w:p w14:paraId="1EF20713" w14:textId="77777777" w:rsidR="00B7558A" w:rsidRPr="0058194F" w:rsidRDefault="00B7558A" w:rsidP="0058194F">
      <w:pPr>
        <w:rPr>
          <w:rFonts w:ascii="Calibri" w:hAnsi="Calibri" w:cs="Calibri"/>
          <w:lang w:val="en-GB"/>
        </w:rPr>
      </w:pPr>
    </w:p>
    <w:p w14:paraId="20E3EB84" w14:textId="46063340" w:rsidR="006E54D9" w:rsidRPr="0058194F" w:rsidRDefault="00B7558A" w:rsidP="0058194F">
      <w:pPr>
        <w:rPr>
          <w:rFonts w:ascii="Calibri" w:hAnsi="Calibri" w:cs="Calibri"/>
          <w:lang w:val="en-GB"/>
        </w:rPr>
      </w:pPr>
      <w:r w:rsidRPr="0058194F">
        <w:rPr>
          <w:rFonts w:ascii="Calibri" w:hAnsi="Calibri" w:cs="Calibri"/>
          <w:lang w:val="en-GB"/>
        </w:rPr>
        <w:t>SMF</w:t>
      </w:r>
      <w:r w:rsidRPr="0058194F">
        <w:rPr>
          <w:rFonts w:ascii="Calibri" w:hAnsi="Calibri" w:cs="Calibri"/>
          <w:lang w:val="en-GB"/>
        </w:rPr>
        <w:tab/>
      </w:r>
      <w:r w:rsidRPr="0058194F">
        <w:rPr>
          <w:rFonts w:ascii="Calibri" w:hAnsi="Calibri" w:cs="Calibri"/>
          <w:lang w:val="en-GB"/>
        </w:rPr>
        <w:tab/>
        <w:t>Senior Management Function</w:t>
      </w:r>
    </w:p>
    <w:p w14:paraId="1EF0AA2A" w14:textId="77777777" w:rsidR="009F5B6E" w:rsidRPr="003C4F95" w:rsidRDefault="009F5B6E" w:rsidP="00FB0DA0">
      <w:pPr>
        <w:rPr>
          <w:rFonts w:ascii="Calibri" w:hAnsi="Calibri" w:cs="Calibri"/>
          <w:b/>
          <w:bCs/>
          <w:lang w:val="en-GB"/>
        </w:rPr>
      </w:pPr>
      <w:r w:rsidRPr="003C4F95">
        <w:rPr>
          <w:rFonts w:ascii="Calibri" w:hAnsi="Calibri" w:cs="Calibri"/>
          <w:b/>
          <w:bCs/>
          <w:lang w:val="en-GB"/>
        </w:rPr>
        <w:br w:type="page"/>
      </w:r>
    </w:p>
    <w:p w14:paraId="3AD16E23" w14:textId="4B46B370" w:rsidR="007B0D18" w:rsidRPr="003C4F95" w:rsidRDefault="007B0D18" w:rsidP="007B0D18">
      <w:pPr>
        <w:pStyle w:val="Heading1"/>
        <w:pBdr>
          <w:bottom w:val="single" w:sz="8" w:space="1" w:color="2E74B5" w:themeColor="accent5" w:themeShade="BF"/>
        </w:pBdr>
        <w:rPr>
          <w:rFonts w:ascii="Calibri" w:hAnsi="Calibri" w:cs="Calibri"/>
        </w:rPr>
      </w:pPr>
      <w:bookmarkStart w:id="5" w:name="_Toc171908177"/>
      <w:bookmarkStart w:id="6" w:name="_Toc167079284"/>
      <w:bookmarkStart w:id="7" w:name="_Toc167079474"/>
      <w:r>
        <w:rPr>
          <w:rFonts w:ascii="Calibri" w:hAnsi="Calibri" w:cs="Calibri"/>
        </w:rPr>
        <w:lastRenderedPageBreak/>
        <w:t>Foreword</w:t>
      </w:r>
      <w:bookmarkEnd w:id="5"/>
    </w:p>
    <w:p w14:paraId="452F0649" w14:textId="77777777" w:rsidR="00157082" w:rsidRDefault="00157082" w:rsidP="00157082">
      <w:pPr>
        <w:autoSpaceDE w:val="0"/>
        <w:autoSpaceDN w:val="0"/>
        <w:adjustRightInd w:val="0"/>
        <w:jc w:val="both"/>
        <w:rPr>
          <w:rFonts w:asciiTheme="minorHAnsi" w:hAnsiTheme="minorHAnsi" w:cstheme="minorHAnsi"/>
          <w:sz w:val="22"/>
          <w:szCs w:val="22"/>
        </w:rPr>
      </w:pPr>
    </w:p>
    <w:p w14:paraId="59C44EEE" w14:textId="724E696A" w:rsidR="00157082" w:rsidRPr="00157082" w:rsidRDefault="00157082" w:rsidP="00157082">
      <w:pPr>
        <w:autoSpaceDE w:val="0"/>
        <w:autoSpaceDN w:val="0"/>
        <w:adjustRightInd w:val="0"/>
        <w:jc w:val="both"/>
        <w:rPr>
          <w:rFonts w:asciiTheme="minorHAnsi" w:hAnsiTheme="minorHAnsi" w:cstheme="minorHAnsi"/>
          <w:sz w:val="22"/>
          <w:szCs w:val="22"/>
        </w:rPr>
      </w:pPr>
      <w:r w:rsidRPr="00157082">
        <w:rPr>
          <w:rFonts w:asciiTheme="minorHAnsi" w:hAnsiTheme="minorHAnsi" w:cstheme="minorHAnsi"/>
          <w:sz w:val="22"/>
          <w:szCs w:val="22"/>
        </w:rPr>
        <w:t>Climate change is the most significant challenge facing humanity today</w:t>
      </w:r>
      <w:r w:rsidRPr="00157082">
        <w:rPr>
          <w:rStyle w:val="FootnoteReference"/>
          <w:rFonts w:asciiTheme="minorHAnsi" w:hAnsiTheme="minorHAnsi" w:cstheme="minorHAnsi"/>
          <w:sz w:val="22"/>
          <w:szCs w:val="22"/>
        </w:rPr>
        <w:footnoteReference w:id="2"/>
      </w:r>
      <w:r w:rsidRPr="00157082">
        <w:rPr>
          <w:rFonts w:asciiTheme="minorHAnsi" w:hAnsiTheme="minorHAnsi" w:cstheme="minorHAnsi"/>
          <w:sz w:val="22"/>
          <w:szCs w:val="22"/>
        </w:rPr>
        <w:t>. Unpredictable weather patterns, including droughts, floods, and wildfires, trigger massive humanitarian crises and disrupt economies, health systems, and education. These consequences threaten the vision of global shared prosperity by 2030, underscoring the urgency of transitioning to a climate-resilient green economy.</w:t>
      </w:r>
    </w:p>
    <w:p w14:paraId="5B14EB75" w14:textId="77777777" w:rsidR="00157082" w:rsidRPr="00157082" w:rsidRDefault="00157082" w:rsidP="00157082">
      <w:pPr>
        <w:autoSpaceDE w:val="0"/>
        <w:autoSpaceDN w:val="0"/>
        <w:adjustRightInd w:val="0"/>
        <w:jc w:val="both"/>
        <w:rPr>
          <w:rFonts w:asciiTheme="minorHAnsi" w:hAnsiTheme="minorHAnsi" w:cstheme="minorHAnsi"/>
          <w:sz w:val="22"/>
          <w:szCs w:val="22"/>
        </w:rPr>
      </w:pPr>
    </w:p>
    <w:p w14:paraId="4C99D007" w14:textId="7E06AA50" w:rsidR="00157082" w:rsidRPr="00157082" w:rsidRDefault="00157082" w:rsidP="00157082">
      <w:pPr>
        <w:autoSpaceDE w:val="0"/>
        <w:autoSpaceDN w:val="0"/>
        <w:adjustRightInd w:val="0"/>
        <w:jc w:val="both"/>
        <w:rPr>
          <w:rFonts w:asciiTheme="minorHAnsi" w:hAnsiTheme="minorHAnsi" w:cstheme="minorHAnsi"/>
          <w:sz w:val="22"/>
          <w:szCs w:val="22"/>
        </w:rPr>
      </w:pPr>
      <w:r w:rsidRPr="00157082">
        <w:rPr>
          <w:rFonts w:asciiTheme="minorHAnsi" w:hAnsiTheme="minorHAnsi" w:cstheme="minorHAnsi"/>
          <w:sz w:val="22"/>
          <w:szCs w:val="22"/>
        </w:rPr>
        <w:t>Kenya, alongside the global community, has recognized climate change as a pressing issue.</w:t>
      </w:r>
      <w:r w:rsidR="00EB0B1F">
        <w:rPr>
          <w:rFonts w:asciiTheme="minorHAnsi" w:hAnsiTheme="minorHAnsi" w:cstheme="minorHAnsi"/>
          <w:sz w:val="22"/>
          <w:szCs w:val="22"/>
        </w:rPr>
        <w:t xml:space="preserve"> The </w:t>
      </w:r>
      <w:r w:rsidRPr="00157082">
        <w:rPr>
          <w:rFonts w:asciiTheme="minorHAnsi" w:hAnsiTheme="minorHAnsi" w:cstheme="minorHAnsi"/>
          <w:sz w:val="22"/>
          <w:szCs w:val="22"/>
        </w:rPr>
        <w:t>Kenyan government has therefore committed to the United Nation’s 2030 Agenda for Sustainable Development and the Paris Agreement. To fulfil its climate change commitments, both government and private sector funding is necessary. The financial sector</w:t>
      </w:r>
      <w:proofErr w:type="gramStart"/>
      <w:r w:rsidRPr="00157082">
        <w:rPr>
          <w:rFonts w:asciiTheme="minorHAnsi" w:hAnsiTheme="minorHAnsi" w:cstheme="minorHAnsi"/>
          <w:sz w:val="22"/>
          <w:szCs w:val="22"/>
        </w:rPr>
        <w:t>, in particular, plays</w:t>
      </w:r>
      <w:proofErr w:type="gramEnd"/>
      <w:r w:rsidRPr="00157082">
        <w:rPr>
          <w:rFonts w:asciiTheme="minorHAnsi" w:hAnsiTheme="minorHAnsi" w:cstheme="minorHAnsi"/>
          <w:sz w:val="22"/>
          <w:szCs w:val="22"/>
        </w:rPr>
        <w:t xml:space="preserve"> a crucial role by </w:t>
      </w:r>
      <w:proofErr w:type="spellStart"/>
      <w:r w:rsidRPr="00157082">
        <w:rPr>
          <w:rFonts w:asciiTheme="minorHAnsi" w:hAnsiTheme="minorHAnsi" w:cstheme="minorHAnsi"/>
          <w:sz w:val="22"/>
          <w:szCs w:val="22"/>
        </w:rPr>
        <w:t>channelling</w:t>
      </w:r>
      <w:proofErr w:type="spellEnd"/>
      <w:r w:rsidRPr="00157082">
        <w:rPr>
          <w:rFonts w:asciiTheme="minorHAnsi" w:hAnsiTheme="minorHAnsi" w:cstheme="minorHAnsi"/>
          <w:sz w:val="22"/>
          <w:szCs w:val="22"/>
        </w:rPr>
        <w:t xml:space="preserve"> capital towards sustainable solutions. </w:t>
      </w:r>
    </w:p>
    <w:p w14:paraId="43CE854B" w14:textId="77777777" w:rsidR="00157082" w:rsidRPr="00157082" w:rsidRDefault="00157082" w:rsidP="00157082">
      <w:pPr>
        <w:autoSpaceDE w:val="0"/>
        <w:autoSpaceDN w:val="0"/>
        <w:adjustRightInd w:val="0"/>
        <w:jc w:val="both"/>
        <w:rPr>
          <w:rFonts w:asciiTheme="minorHAnsi" w:hAnsiTheme="minorHAnsi" w:cstheme="minorHAnsi"/>
          <w:sz w:val="22"/>
          <w:szCs w:val="22"/>
        </w:rPr>
      </w:pPr>
    </w:p>
    <w:p w14:paraId="64DC6589" w14:textId="77777777" w:rsidR="00157082" w:rsidRPr="00157082" w:rsidRDefault="00157082" w:rsidP="00157082">
      <w:pPr>
        <w:autoSpaceDE w:val="0"/>
        <w:autoSpaceDN w:val="0"/>
        <w:adjustRightInd w:val="0"/>
        <w:jc w:val="both"/>
        <w:rPr>
          <w:rFonts w:asciiTheme="minorHAnsi" w:hAnsiTheme="minorHAnsi" w:cstheme="minorHAnsi"/>
          <w:sz w:val="22"/>
          <w:szCs w:val="22"/>
        </w:rPr>
      </w:pPr>
      <w:r w:rsidRPr="00157082">
        <w:rPr>
          <w:rFonts w:asciiTheme="minorHAnsi" w:hAnsiTheme="minorHAnsi" w:cstheme="minorHAnsi"/>
          <w:sz w:val="22"/>
          <w:szCs w:val="22"/>
        </w:rPr>
        <w:t>In recognition of the importance of the financial sector in combating climate change, the Central Bank of Kenya (CBK) issued Guidance on Climate-Related Risk Management (the Guidance) in October 2021. The Guidance was intended to facilitate banks to incorporate climate-risk related considerations in their governance, strategy, risk management and disclosures frameworks. While progress has been made, further action is needed to ensure a robust financial system that supports the decisive handling of the challenges of climate change.</w:t>
      </w:r>
    </w:p>
    <w:p w14:paraId="76302A0F" w14:textId="77777777" w:rsidR="00157082" w:rsidRPr="00157082" w:rsidRDefault="00157082" w:rsidP="00157082">
      <w:pPr>
        <w:autoSpaceDE w:val="0"/>
        <w:autoSpaceDN w:val="0"/>
        <w:adjustRightInd w:val="0"/>
        <w:jc w:val="both"/>
        <w:rPr>
          <w:rFonts w:asciiTheme="minorHAnsi" w:hAnsiTheme="minorHAnsi" w:cstheme="minorHAnsi"/>
          <w:sz w:val="22"/>
          <w:szCs w:val="22"/>
        </w:rPr>
      </w:pPr>
    </w:p>
    <w:p w14:paraId="30CA73DE" w14:textId="77777777" w:rsidR="00157082" w:rsidRPr="00157082" w:rsidRDefault="00157082" w:rsidP="00157082">
      <w:pPr>
        <w:contextualSpacing/>
        <w:jc w:val="both"/>
        <w:rPr>
          <w:rFonts w:asciiTheme="minorHAnsi" w:hAnsiTheme="minorHAnsi" w:cstheme="minorHAnsi"/>
          <w:sz w:val="22"/>
          <w:szCs w:val="22"/>
        </w:rPr>
      </w:pPr>
      <w:r w:rsidRPr="00157082">
        <w:rPr>
          <w:rFonts w:asciiTheme="minorHAnsi" w:hAnsiTheme="minorHAnsi" w:cstheme="minorHAnsi"/>
          <w:sz w:val="22"/>
          <w:szCs w:val="22"/>
        </w:rPr>
        <w:t>A significant step towards global sustainability reporting came in June 2023 with the issuance of International Financial Reporting Standards (IFRS) S1 and S2 by the International Sustainability Standards Board (ISSB)</w:t>
      </w:r>
      <w:r w:rsidRPr="00157082">
        <w:rPr>
          <w:rStyle w:val="FootnoteReference"/>
          <w:rFonts w:asciiTheme="minorHAnsi" w:hAnsiTheme="minorHAnsi" w:cstheme="minorHAnsi"/>
          <w:sz w:val="22"/>
          <w:szCs w:val="22"/>
        </w:rPr>
        <w:t xml:space="preserve"> </w:t>
      </w:r>
      <w:r w:rsidRPr="00157082">
        <w:rPr>
          <w:rStyle w:val="FootnoteReference"/>
          <w:rFonts w:asciiTheme="minorHAnsi" w:hAnsiTheme="minorHAnsi" w:cstheme="minorHAnsi"/>
          <w:sz w:val="22"/>
          <w:szCs w:val="22"/>
        </w:rPr>
        <w:footnoteReference w:id="3"/>
      </w:r>
      <w:r w:rsidRPr="00157082">
        <w:rPr>
          <w:rFonts w:asciiTheme="minorHAnsi" w:hAnsiTheme="minorHAnsi" w:cstheme="minorHAnsi"/>
          <w:sz w:val="22"/>
          <w:szCs w:val="22"/>
        </w:rPr>
        <w:t>. IFRS S1</w:t>
      </w:r>
      <w:r w:rsidRPr="00157082">
        <w:rPr>
          <w:rStyle w:val="FootnoteReference"/>
          <w:rFonts w:asciiTheme="minorHAnsi" w:hAnsiTheme="minorHAnsi" w:cstheme="minorHAnsi"/>
          <w:sz w:val="22"/>
          <w:szCs w:val="22"/>
        </w:rPr>
        <w:footnoteReference w:id="4"/>
      </w:r>
      <w:r w:rsidRPr="00157082">
        <w:rPr>
          <w:rFonts w:asciiTheme="minorHAnsi" w:hAnsiTheme="minorHAnsi" w:cstheme="minorHAnsi"/>
          <w:sz w:val="22"/>
          <w:szCs w:val="22"/>
        </w:rPr>
        <w:t xml:space="preserve"> encompasses comprehensive sustainability-related risks and opportunities, including environmental, social, and governance (ESG) factors affecting financial performance. IFRS S2</w:t>
      </w:r>
      <w:r w:rsidRPr="00157082">
        <w:rPr>
          <w:rStyle w:val="FootnoteReference"/>
          <w:rFonts w:asciiTheme="minorHAnsi" w:hAnsiTheme="minorHAnsi" w:cstheme="minorHAnsi"/>
          <w:sz w:val="22"/>
          <w:szCs w:val="22"/>
        </w:rPr>
        <w:footnoteReference w:id="5"/>
      </w:r>
      <w:r w:rsidRPr="00157082">
        <w:rPr>
          <w:rFonts w:asciiTheme="minorHAnsi" w:hAnsiTheme="minorHAnsi" w:cstheme="minorHAnsi"/>
          <w:sz w:val="22"/>
          <w:szCs w:val="22"/>
        </w:rPr>
        <w:t xml:space="preserve"> specifically focuses on climate-related disclosures, in line with the recommendations of the Task Force on Climate-related Financial Disclosures (TCFD</w:t>
      </w:r>
      <w:r w:rsidRPr="00157082">
        <w:rPr>
          <w:rStyle w:val="FootnoteReference"/>
          <w:rFonts w:asciiTheme="minorHAnsi" w:hAnsiTheme="minorHAnsi" w:cstheme="minorHAnsi"/>
          <w:sz w:val="22"/>
          <w:szCs w:val="22"/>
        </w:rPr>
        <w:footnoteReference w:id="6"/>
      </w:r>
      <w:r w:rsidRPr="00157082">
        <w:rPr>
          <w:rFonts w:asciiTheme="minorHAnsi" w:hAnsiTheme="minorHAnsi" w:cstheme="minorHAnsi"/>
          <w:sz w:val="22"/>
          <w:szCs w:val="22"/>
        </w:rPr>
        <w:t>). These standards promote improved risk management, transparency, and sustainable investments, ultimately benefiting the entire economy.</w:t>
      </w:r>
    </w:p>
    <w:p w14:paraId="61CBCD35" w14:textId="77777777" w:rsidR="00157082" w:rsidRPr="00157082" w:rsidRDefault="00157082" w:rsidP="00157082">
      <w:pPr>
        <w:contextualSpacing/>
        <w:jc w:val="both"/>
        <w:rPr>
          <w:rFonts w:asciiTheme="minorHAnsi" w:hAnsiTheme="minorHAnsi" w:cstheme="minorHAnsi"/>
          <w:sz w:val="22"/>
          <w:szCs w:val="22"/>
          <w:highlight w:val="yellow"/>
        </w:rPr>
      </w:pPr>
    </w:p>
    <w:p w14:paraId="628C67FB" w14:textId="77777777" w:rsidR="00157082" w:rsidRPr="00157082" w:rsidRDefault="00157082" w:rsidP="00157082">
      <w:pPr>
        <w:contextualSpacing/>
        <w:jc w:val="both"/>
        <w:rPr>
          <w:rFonts w:asciiTheme="minorHAnsi" w:hAnsiTheme="minorHAnsi" w:cstheme="minorHAnsi"/>
          <w:sz w:val="22"/>
          <w:szCs w:val="22"/>
        </w:rPr>
      </w:pPr>
      <w:r w:rsidRPr="00157082">
        <w:rPr>
          <w:rFonts w:asciiTheme="minorHAnsi" w:hAnsiTheme="minorHAnsi" w:cstheme="minorHAnsi"/>
          <w:sz w:val="22"/>
          <w:szCs w:val="22"/>
        </w:rPr>
        <w:t xml:space="preserve">CBK’s desire for a resilient and sustainable banking sector aligns well with the goals of IFRS S2. IFRS S2 requires banks to report on both physical risks (such as extreme weather events and rising sea levels) and transition risks (related to policy changes and technological advancements impacting fossil fuels). The standard emphasizes governance processes for identifying and managing climate risks, as well as integrating these considerations into business strategies, risk management frameworks, and metrics and targets. Notably, scenario analysis is required to assess a bank’s resilience under different future climate scenarios. </w:t>
      </w:r>
    </w:p>
    <w:p w14:paraId="3F7E0072" w14:textId="77777777" w:rsidR="00157082" w:rsidRPr="00157082" w:rsidRDefault="00157082" w:rsidP="00157082">
      <w:pPr>
        <w:contextualSpacing/>
        <w:jc w:val="both"/>
        <w:rPr>
          <w:rFonts w:asciiTheme="minorHAnsi" w:hAnsiTheme="minorHAnsi" w:cstheme="minorHAnsi"/>
          <w:sz w:val="22"/>
          <w:szCs w:val="22"/>
        </w:rPr>
      </w:pPr>
    </w:p>
    <w:p w14:paraId="5FE3DD58" w14:textId="77777777" w:rsidR="00157082" w:rsidRPr="00157082" w:rsidRDefault="00157082" w:rsidP="00157082">
      <w:pPr>
        <w:contextualSpacing/>
        <w:jc w:val="both"/>
        <w:rPr>
          <w:rFonts w:asciiTheme="minorHAnsi" w:hAnsiTheme="minorHAnsi" w:cstheme="minorHAnsi"/>
          <w:sz w:val="22"/>
          <w:szCs w:val="22"/>
        </w:rPr>
      </w:pPr>
      <w:r w:rsidRPr="00157082">
        <w:rPr>
          <w:rFonts w:asciiTheme="minorHAnsi" w:hAnsiTheme="minorHAnsi" w:cstheme="minorHAnsi"/>
          <w:sz w:val="22"/>
          <w:szCs w:val="22"/>
        </w:rPr>
        <w:t>By promoting transparency and responsible business practices, IFRS S2 paves the way for financial institutions to proactively contribute to a sustainable future. Building upon this momentum, CBK partnered with the European Investment Bank (EIB) in October 2023 to develop an Enhanced Climate Risk Disclosure Framework, among other initiatives.</w:t>
      </w:r>
    </w:p>
    <w:p w14:paraId="43AF6132" w14:textId="77777777" w:rsidR="00157082" w:rsidRPr="00157082" w:rsidRDefault="00157082" w:rsidP="00157082">
      <w:pPr>
        <w:contextualSpacing/>
        <w:jc w:val="both"/>
        <w:rPr>
          <w:rFonts w:asciiTheme="minorHAnsi" w:hAnsiTheme="minorHAnsi" w:cstheme="minorHAnsi"/>
          <w:sz w:val="22"/>
          <w:szCs w:val="22"/>
        </w:rPr>
      </w:pPr>
    </w:p>
    <w:p w14:paraId="3A30880B" w14:textId="77777777" w:rsidR="00157082" w:rsidRPr="00157082" w:rsidRDefault="00157082" w:rsidP="00157082">
      <w:pPr>
        <w:contextualSpacing/>
        <w:jc w:val="both"/>
        <w:rPr>
          <w:rFonts w:asciiTheme="minorHAnsi" w:hAnsiTheme="minorHAnsi" w:cstheme="minorHAnsi"/>
          <w:sz w:val="22"/>
          <w:szCs w:val="22"/>
        </w:rPr>
      </w:pPr>
      <w:r w:rsidRPr="00157082">
        <w:rPr>
          <w:rFonts w:asciiTheme="minorHAnsi" w:hAnsiTheme="minorHAnsi" w:cstheme="minorHAnsi"/>
          <w:sz w:val="22"/>
          <w:szCs w:val="22"/>
        </w:rPr>
        <w:t>The Enhanced Climate Risk Disclosure Framework signifies a commitment to promoting transparency, accountability, and sustainability in the financial sector. Aligned with global best practices and standards, such as IFRS S2, Basel Committee on Banking Supervision (BCBS) principles, and TCFD recommendations, the framework aims to incorporate the following elements: -</w:t>
      </w:r>
    </w:p>
    <w:p w14:paraId="72DFCF68" w14:textId="77777777" w:rsidR="00157082" w:rsidRPr="00157082" w:rsidRDefault="00157082" w:rsidP="00157082">
      <w:pPr>
        <w:pStyle w:val="ListParagraph"/>
        <w:jc w:val="both"/>
        <w:rPr>
          <w:rFonts w:asciiTheme="minorHAnsi" w:hAnsiTheme="minorHAnsi" w:cstheme="minorHAnsi"/>
          <w:sz w:val="22"/>
          <w:szCs w:val="22"/>
        </w:rPr>
      </w:pPr>
    </w:p>
    <w:p w14:paraId="0F24B894" w14:textId="77777777" w:rsidR="00157082" w:rsidRPr="00157082" w:rsidRDefault="00157082" w:rsidP="00157082">
      <w:pPr>
        <w:pStyle w:val="ListParagraph"/>
        <w:numPr>
          <w:ilvl w:val="0"/>
          <w:numId w:val="49"/>
        </w:numPr>
        <w:jc w:val="both"/>
        <w:rPr>
          <w:rFonts w:asciiTheme="minorHAnsi" w:hAnsiTheme="minorHAnsi" w:cstheme="minorHAnsi"/>
          <w:sz w:val="22"/>
          <w:szCs w:val="22"/>
        </w:rPr>
      </w:pPr>
      <w:r w:rsidRPr="00157082">
        <w:rPr>
          <w:rFonts w:asciiTheme="minorHAnsi" w:hAnsiTheme="minorHAnsi" w:cstheme="minorHAnsi"/>
          <w:sz w:val="22"/>
          <w:szCs w:val="22"/>
        </w:rPr>
        <w:lastRenderedPageBreak/>
        <w:t>Enhancing awareness and transparency regarding climate-related risks within the Kenyan banking sector.</w:t>
      </w:r>
    </w:p>
    <w:p w14:paraId="0EC9B98B" w14:textId="77777777" w:rsidR="00157082" w:rsidRPr="00157082" w:rsidRDefault="00157082" w:rsidP="00157082">
      <w:pPr>
        <w:pStyle w:val="ListParagraph"/>
        <w:numPr>
          <w:ilvl w:val="0"/>
          <w:numId w:val="49"/>
        </w:numPr>
        <w:jc w:val="both"/>
        <w:rPr>
          <w:rFonts w:asciiTheme="minorHAnsi" w:hAnsiTheme="minorHAnsi" w:cstheme="minorHAnsi"/>
          <w:sz w:val="22"/>
          <w:szCs w:val="22"/>
        </w:rPr>
      </w:pPr>
      <w:r w:rsidRPr="00157082">
        <w:rPr>
          <w:rFonts w:asciiTheme="minorHAnsi" w:hAnsiTheme="minorHAnsi" w:cstheme="minorHAnsi"/>
          <w:sz w:val="22"/>
          <w:szCs w:val="22"/>
        </w:rPr>
        <w:t>Identification, mapping, and disclosure of climate risks - assessing both physical risks (such as extreme weather events) and transition risks (related to shifts in policy, technology, and market preferences) that could impact the banking sector.</w:t>
      </w:r>
    </w:p>
    <w:p w14:paraId="6BDFD0AD" w14:textId="77777777" w:rsidR="00157082" w:rsidRPr="00157082" w:rsidRDefault="00157082" w:rsidP="00157082">
      <w:pPr>
        <w:pStyle w:val="ListParagraph"/>
        <w:numPr>
          <w:ilvl w:val="0"/>
          <w:numId w:val="49"/>
        </w:numPr>
        <w:jc w:val="both"/>
        <w:rPr>
          <w:rFonts w:asciiTheme="minorHAnsi" w:hAnsiTheme="minorHAnsi" w:cstheme="minorHAnsi"/>
          <w:sz w:val="22"/>
          <w:szCs w:val="22"/>
        </w:rPr>
      </w:pPr>
      <w:r w:rsidRPr="00157082">
        <w:rPr>
          <w:rFonts w:asciiTheme="minorHAnsi" w:hAnsiTheme="minorHAnsi" w:cstheme="minorHAnsi"/>
          <w:sz w:val="22"/>
          <w:szCs w:val="22"/>
        </w:rPr>
        <w:t>Implementation of governance processes for climate-related risks.</w:t>
      </w:r>
    </w:p>
    <w:p w14:paraId="04556C1F" w14:textId="77777777" w:rsidR="00157082" w:rsidRPr="00157082" w:rsidRDefault="00157082" w:rsidP="00157082">
      <w:pPr>
        <w:pStyle w:val="ListParagraph"/>
        <w:numPr>
          <w:ilvl w:val="0"/>
          <w:numId w:val="49"/>
        </w:numPr>
        <w:jc w:val="both"/>
        <w:rPr>
          <w:rFonts w:asciiTheme="minorHAnsi" w:hAnsiTheme="minorHAnsi" w:cstheme="minorHAnsi"/>
          <w:sz w:val="22"/>
          <w:szCs w:val="22"/>
        </w:rPr>
      </w:pPr>
      <w:r w:rsidRPr="00157082">
        <w:rPr>
          <w:rFonts w:asciiTheme="minorHAnsi" w:hAnsiTheme="minorHAnsi" w:cstheme="minorHAnsi"/>
          <w:sz w:val="22"/>
          <w:szCs w:val="22"/>
        </w:rPr>
        <w:t>Incorporation of climate-related risks and opportunities into overall business strategies and decision-making frameworks.</w:t>
      </w:r>
    </w:p>
    <w:p w14:paraId="5C218AB2" w14:textId="77777777" w:rsidR="00157082" w:rsidRPr="00157082" w:rsidRDefault="00157082" w:rsidP="00157082">
      <w:pPr>
        <w:pStyle w:val="ListParagraph"/>
        <w:numPr>
          <w:ilvl w:val="0"/>
          <w:numId w:val="49"/>
        </w:numPr>
        <w:jc w:val="both"/>
        <w:rPr>
          <w:rFonts w:asciiTheme="minorHAnsi" w:hAnsiTheme="minorHAnsi" w:cstheme="minorHAnsi"/>
          <w:sz w:val="22"/>
          <w:szCs w:val="22"/>
        </w:rPr>
      </w:pPr>
      <w:r w:rsidRPr="00157082">
        <w:rPr>
          <w:rFonts w:asciiTheme="minorHAnsi" w:hAnsiTheme="minorHAnsi" w:cstheme="minorHAnsi"/>
          <w:sz w:val="22"/>
          <w:szCs w:val="22"/>
        </w:rPr>
        <w:t>Integration of climate risk management into the banks’ overall risk management processes.</w:t>
      </w:r>
    </w:p>
    <w:p w14:paraId="0DD2B9AA" w14:textId="77777777" w:rsidR="00157082" w:rsidRPr="00157082" w:rsidRDefault="00157082" w:rsidP="00157082">
      <w:pPr>
        <w:pStyle w:val="ListParagraph"/>
        <w:numPr>
          <w:ilvl w:val="0"/>
          <w:numId w:val="49"/>
        </w:numPr>
        <w:jc w:val="both"/>
        <w:rPr>
          <w:rFonts w:asciiTheme="minorHAnsi" w:hAnsiTheme="minorHAnsi" w:cstheme="minorHAnsi"/>
          <w:sz w:val="22"/>
          <w:szCs w:val="22"/>
        </w:rPr>
      </w:pPr>
      <w:r w:rsidRPr="00157082">
        <w:rPr>
          <w:rFonts w:asciiTheme="minorHAnsi" w:hAnsiTheme="minorHAnsi" w:cstheme="minorHAnsi"/>
          <w:sz w:val="22"/>
          <w:szCs w:val="22"/>
        </w:rPr>
        <w:t>Disclosure of specific metrics and set targets related to climate-related risks and opportunities, such as greenhouse gas emissions, exposure to climate-related risks, and the alignment of investments with climate goals.</w:t>
      </w:r>
    </w:p>
    <w:p w14:paraId="682970EB" w14:textId="77777777" w:rsidR="00157082" w:rsidRPr="00157082" w:rsidRDefault="00157082" w:rsidP="00157082">
      <w:pPr>
        <w:pStyle w:val="ListParagraph"/>
        <w:numPr>
          <w:ilvl w:val="0"/>
          <w:numId w:val="49"/>
        </w:numPr>
        <w:jc w:val="both"/>
        <w:rPr>
          <w:rFonts w:asciiTheme="minorHAnsi" w:hAnsiTheme="minorHAnsi" w:cstheme="minorHAnsi"/>
          <w:sz w:val="22"/>
          <w:szCs w:val="22"/>
        </w:rPr>
      </w:pPr>
      <w:r w:rsidRPr="00157082">
        <w:rPr>
          <w:rFonts w:asciiTheme="minorHAnsi" w:hAnsiTheme="minorHAnsi" w:cstheme="minorHAnsi"/>
          <w:sz w:val="22"/>
          <w:szCs w:val="22"/>
        </w:rPr>
        <w:t>Development of a climate risk disclosure dashboard incorporating metrics, heatmaps, and scenario analyses to facilitate monitoring and decision-making regarding climate-related risks.</w:t>
      </w:r>
    </w:p>
    <w:p w14:paraId="18DDD020" w14:textId="77777777" w:rsidR="00157082" w:rsidRPr="00157082" w:rsidRDefault="00157082" w:rsidP="00157082">
      <w:pPr>
        <w:pStyle w:val="ListParagraph"/>
        <w:numPr>
          <w:ilvl w:val="0"/>
          <w:numId w:val="49"/>
        </w:numPr>
        <w:jc w:val="both"/>
        <w:rPr>
          <w:rFonts w:asciiTheme="minorHAnsi" w:hAnsiTheme="minorHAnsi" w:cstheme="minorHAnsi"/>
          <w:sz w:val="22"/>
          <w:szCs w:val="22"/>
        </w:rPr>
      </w:pPr>
      <w:r w:rsidRPr="00157082">
        <w:rPr>
          <w:rFonts w:asciiTheme="minorHAnsi" w:hAnsiTheme="minorHAnsi" w:cstheme="minorHAnsi"/>
          <w:sz w:val="22"/>
          <w:szCs w:val="22"/>
        </w:rPr>
        <w:t>Capacity-building initiatives aimed at ensuring that banks and other institutions have the knowledge and resources to implement measures that support mitigation and adaptation in countering the effect of climate change.</w:t>
      </w:r>
    </w:p>
    <w:p w14:paraId="10860C8E" w14:textId="77777777" w:rsidR="00157082" w:rsidRPr="00157082" w:rsidRDefault="00157082" w:rsidP="00157082">
      <w:pPr>
        <w:contextualSpacing/>
        <w:jc w:val="both"/>
        <w:rPr>
          <w:rFonts w:asciiTheme="minorHAnsi" w:hAnsiTheme="minorHAnsi" w:cstheme="minorHAnsi"/>
          <w:sz w:val="22"/>
          <w:szCs w:val="22"/>
        </w:rPr>
      </w:pPr>
    </w:p>
    <w:p w14:paraId="019C6E85" w14:textId="77777777" w:rsidR="00157082" w:rsidRPr="00157082" w:rsidRDefault="00157082" w:rsidP="00157082">
      <w:pPr>
        <w:autoSpaceDE w:val="0"/>
        <w:autoSpaceDN w:val="0"/>
        <w:adjustRightInd w:val="0"/>
        <w:jc w:val="both"/>
        <w:rPr>
          <w:rFonts w:asciiTheme="minorHAnsi" w:hAnsiTheme="minorHAnsi" w:cstheme="minorHAnsi"/>
          <w:sz w:val="22"/>
          <w:szCs w:val="22"/>
        </w:rPr>
      </w:pPr>
      <w:r w:rsidRPr="00157082">
        <w:rPr>
          <w:rFonts w:asciiTheme="minorHAnsi" w:hAnsiTheme="minorHAnsi" w:cstheme="minorHAnsi"/>
          <w:sz w:val="22"/>
          <w:szCs w:val="22"/>
        </w:rPr>
        <w:t xml:space="preserve">The Enhanced Climate Risk Disclosure framework offers </w:t>
      </w:r>
      <w:proofErr w:type="gramStart"/>
      <w:r w:rsidRPr="00157082">
        <w:rPr>
          <w:rFonts w:asciiTheme="minorHAnsi" w:hAnsiTheme="minorHAnsi" w:cstheme="minorHAnsi"/>
          <w:sz w:val="22"/>
          <w:szCs w:val="22"/>
        </w:rPr>
        <w:t>a number of</w:t>
      </w:r>
      <w:proofErr w:type="gramEnd"/>
      <w:r w:rsidRPr="00157082">
        <w:rPr>
          <w:rFonts w:asciiTheme="minorHAnsi" w:hAnsiTheme="minorHAnsi" w:cstheme="minorHAnsi"/>
          <w:sz w:val="22"/>
          <w:szCs w:val="22"/>
        </w:rPr>
        <w:t xml:space="preserve"> benefits. Banks can improve risk management, leading to more informed lending decisions and increased resilience. Transparent disclosures also attract investors seeking sustainable investments, while strategic planning that considers climate risks fosters long-term sustainability. For investors, the framework provides the information needed to assess the financial implications of climate change on potential investments and identify companies well-positioned for the transition to a low-carbon economy. The </w:t>
      </w:r>
      <w:proofErr w:type="gramStart"/>
      <w:r w:rsidRPr="00157082">
        <w:rPr>
          <w:rFonts w:asciiTheme="minorHAnsi" w:hAnsiTheme="minorHAnsi" w:cstheme="minorHAnsi"/>
          <w:sz w:val="22"/>
          <w:szCs w:val="22"/>
        </w:rPr>
        <w:t>general public</w:t>
      </w:r>
      <w:proofErr w:type="gramEnd"/>
      <w:r w:rsidRPr="00157082">
        <w:rPr>
          <w:rFonts w:asciiTheme="minorHAnsi" w:hAnsiTheme="minorHAnsi" w:cstheme="minorHAnsi"/>
          <w:sz w:val="22"/>
          <w:szCs w:val="22"/>
        </w:rPr>
        <w:t xml:space="preserve"> and other stakeholders also benefit from increased transparency, fostering accountability within the financial sector and encouraging businesses to adopt more sustainable practices.</w:t>
      </w:r>
    </w:p>
    <w:p w14:paraId="69488A01" w14:textId="77777777" w:rsidR="00157082" w:rsidRPr="00157082" w:rsidRDefault="00157082" w:rsidP="00157082">
      <w:pPr>
        <w:autoSpaceDE w:val="0"/>
        <w:autoSpaceDN w:val="0"/>
        <w:adjustRightInd w:val="0"/>
        <w:jc w:val="both"/>
        <w:rPr>
          <w:rFonts w:asciiTheme="minorHAnsi" w:hAnsiTheme="minorHAnsi" w:cstheme="minorHAnsi"/>
          <w:sz w:val="22"/>
          <w:szCs w:val="22"/>
        </w:rPr>
      </w:pPr>
    </w:p>
    <w:p w14:paraId="1EE33038" w14:textId="77777777" w:rsidR="00157082" w:rsidRPr="00157082" w:rsidRDefault="00157082" w:rsidP="00157082">
      <w:pPr>
        <w:autoSpaceDE w:val="0"/>
        <w:autoSpaceDN w:val="0"/>
        <w:adjustRightInd w:val="0"/>
        <w:jc w:val="both"/>
        <w:rPr>
          <w:rFonts w:asciiTheme="minorHAnsi" w:hAnsiTheme="minorHAnsi" w:cstheme="minorHAnsi"/>
          <w:sz w:val="22"/>
          <w:szCs w:val="22"/>
        </w:rPr>
      </w:pPr>
      <w:r w:rsidRPr="00157082">
        <w:rPr>
          <w:rFonts w:asciiTheme="minorHAnsi" w:hAnsiTheme="minorHAnsi" w:cstheme="minorHAnsi"/>
          <w:sz w:val="22"/>
          <w:szCs w:val="22"/>
        </w:rPr>
        <w:t>By embracing these initiatives, Kenya’s banking sector is poised to play a pivotal role in fostering climate resilience and sustainability, contributing to both national and global efforts towards a more resilient and sustainable future.</w:t>
      </w:r>
    </w:p>
    <w:p w14:paraId="013A74D3" w14:textId="20CB6BFE" w:rsidR="00721133" w:rsidRPr="00157082" w:rsidRDefault="00721133">
      <w:pPr>
        <w:rPr>
          <w:rFonts w:ascii="Calibri" w:hAnsi="Calibri" w:cs="Calibri"/>
          <w:sz w:val="22"/>
          <w:szCs w:val="22"/>
        </w:rPr>
      </w:pPr>
      <w:r w:rsidRPr="00157082">
        <w:rPr>
          <w:rFonts w:ascii="Calibri" w:hAnsi="Calibri" w:cs="Calibri"/>
          <w:sz w:val="22"/>
          <w:szCs w:val="22"/>
        </w:rPr>
        <w:br w:type="page"/>
      </w:r>
    </w:p>
    <w:p w14:paraId="739A1D9F" w14:textId="77777777" w:rsidR="00721133" w:rsidRPr="00953731" w:rsidRDefault="00721133" w:rsidP="00721133">
      <w:pPr>
        <w:pStyle w:val="Heading1"/>
        <w:pBdr>
          <w:bottom w:val="single" w:sz="8" w:space="1" w:color="2E74B5" w:themeColor="accent5" w:themeShade="BF"/>
        </w:pBdr>
        <w:rPr>
          <w:rFonts w:ascii="Calibri" w:hAnsi="Calibri" w:cs="Calibri"/>
        </w:rPr>
      </w:pPr>
      <w:bookmarkStart w:id="8" w:name="_Toc171908178"/>
      <w:r w:rsidRPr="00953731">
        <w:rPr>
          <w:rFonts w:ascii="Calibri" w:hAnsi="Calibri" w:cs="Calibri"/>
        </w:rPr>
        <w:lastRenderedPageBreak/>
        <w:t>Acknowledgements</w:t>
      </w:r>
      <w:bookmarkEnd w:id="8"/>
      <w:r w:rsidRPr="00953731">
        <w:rPr>
          <w:rFonts w:ascii="Calibri" w:hAnsi="Calibri" w:cs="Calibri"/>
        </w:rPr>
        <w:t xml:space="preserve"> </w:t>
      </w:r>
    </w:p>
    <w:p w14:paraId="1615A259" w14:textId="77777777" w:rsidR="00712140" w:rsidRDefault="00712140" w:rsidP="00721133">
      <w:pPr>
        <w:jc w:val="both"/>
        <w:rPr>
          <w:rFonts w:ascii="Arial" w:hAnsi="Arial" w:cs="Arial"/>
          <w:color w:val="000000"/>
          <w:sz w:val="22"/>
          <w:szCs w:val="22"/>
        </w:rPr>
      </w:pPr>
    </w:p>
    <w:p w14:paraId="178AB821" w14:textId="0B498426" w:rsidR="00167446" w:rsidRPr="00167446" w:rsidRDefault="00B00AC2" w:rsidP="00167446">
      <w:pPr>
        <w:jc w:val="both"/>
        <w:rPr>
          <w:rFonts w:ascii="Calibri" w:hAnsi="Calibri" w:cs="Calibri"/>
          <w:color w:val="000000"/>
        </w:rPr>
      </w:pPr>
      <w:bookmarkStart w:id="9" w:name="_Hlk175213802"/>
      <w:r w:rsidRPr="00167446">
        <w:rPr>
          <w:rFonts w:ascii="Calibri" w:hAnsi="Calibri" w:cs="Calibri"/>
          <w:color w:val="000000"/>
        </w:rPr>
        <w:t xml:space="preserve">This project was implemented by a consortium led by </w:t>
      </w:r>
      <w:r w:rsidRPr="007D521D">
        <w:rPr>
          <w:rFonts w:ascii="Calibri" w:hAnsi="Calibri" w:cs="Calibri"/>
          <w:color w:val="000000"/>
        </w:rPr>
        <w:t>Development Alternatives Incorporated</w:t>
      </w:r>
      <w:r>
        <w:rPr>
          <w:rFonts w:ascii="Calibri" w:hAnsi="Calibri" w:cs="Calibri"/>
          <w:color w:val="000000"/>
        </w:rPr>
        <w:t xml:space="preserve"> (</w:t>
      </w:r>
      <w:r w:rsidRPr="00167446">
        <w:rPr>
          <w:rFonts w:ascii="Calibri" w:hAnsi="Calibri" w:cs="Calibri"/>
          <w:color w:val="000000"/>
        </w:rPr>
        <w:t>DAI</w:t>
      </w:r>
      <w:r>
        <w:rPr>
          <w:rFonts w:ascii="Calibri" w:hAnsi="Calibri" w:cs="Calibri"/>
          <w:color w:val="000000"/>
        </w:rPr>
        <w:t>)</w:t>
      </w:r>
      <w:r w:rsidRPr="00167446">
        <w:rPr>
          <w:rFonts w:ascii="Calibri" w:hAnsi="Calibri" w:cs="Calibri"/>
          <w:color w:val="000000"/>
        </w:rPr>
        <w:t>, in partnership with</w:t>
      </w:r>
      <w:r w:rsidR="0096670A">
        <w:rPr>
          <w:rFonts w:ascii="Calibri" w:hAnsi="Calibri" w:cs="Calibri"/>
          <w:color w:val="000000"/>
        </w:rPr>
        <w:t xml:space="preserve"> </w:t>
      </w:r>
      <w:r w:rsidR="0096670A" w:rsidRPr="0096670A">
        <w:rPr>
          <w:rFonts w:ascii="Calibri" w:hAnsi="Calibri" w:cs="Calibri"/>
          <w:color w:val="000000"/>
        </w:rPr>
        <w:t xml:space="preserve">Application </w:t>
      </w:r>
      <w:proofErr w:type="spellStart"/>
      <w:r w:rsidR="0096670A" w:rsidRPr="0096670A">
        <w:rPr>
          <w:rFonts w:ascii="Calibri" w:hAnsi="Calibri" w:cs="Calibri"/>
          <w:color w:val="000000"/>
        </w:rPr>
        <w:t>Européenne</w:t>
      </w:r>
      <w:proofErr w:type="spellEnd"/>
      <w:r w:rsidR="0096670A" w:rsidRPr="0096670A">
        <w:rPr>
          <w:rFonts w:ascii="Calibri" w:hAnsi="Calibri" w:cs="Calibri"/>
          <w:color w:val="000000"/>
        </w:rPr>
        <w:t xml:space="preserve"> de Technologies et de Services (AETS)</w:t>
      </w:r>
      <w:r>
        <w:rPr>
          <w:rFonts w:ascii="Calibri" w:hAnsi="Calibri" w:cs="Calibri"/>
          <w:color w:val="000000"/>
        </w:rPr>
        <w:t xml:space="preserve"> </w:t>
      </w:r>
      <w:r w:rsidRPr="00167446">
        <w:rPr>
          <w:rFonts w:ascii="Calibri" w:hAnsi="Calibri" w:cs="Calibri"/>
          <w:color w:val="000000"/>
        </w:rPr>
        <w:t xml:space="preserve">and </w:t>
      </w:r>
      <w:r w:rsidRPr="007D521D">
        <w:rPr>
          <w:rFonts w:ascii="Calibri" w:hAnsi="Calibri" w:cs="Calibri"/>
          <w:color w:val="000000"/>
        </w:rPr>
        <w:t>Belgian Bankers Academy (BBA)</w:t>
      </w:r>
      <w:r>
        <w:rPr>
          <w:rFonts w:ascii="Calibri" w:hAnsi="Calibri" w:cs="Calibri"/>
          <w:color w:val="000000"/>
        </w:rPr>
        <w:t>.</w:t>
      </w:r>
      <w:r w:rsidRPr="00167446">
        <w:rPr>
          <w:rFonts w:ascii="Calibri" w:hAnsi="Calibri" w:cs="Calibri"/>
          <w:color w:val="000000"/>
        </w:rPr>
        <w:t xml:space="preserve"> </w:t>
      </w:r>
      <w:r w:rsidR="00167446" w:rsidRPr="00167446">
        <w:rPr>
          <w:rFonts w:ascii="Calibri" w:hAnsi="Calibri" w:cs="Calibri"/>
          <w:color w:val="000000"/>
        </w:rPr>
        <w:t>The technical assistance was financed by the International Climate Initiative Fund (IKI Fund), which is supported by the German Federal Ministry of Economic Affairs</w:t>
      </w:r>
      <w:r w:rsidR="002C6F52">
        <w:rPr>
          <w:rFonts w:ascii="Calibri" w:hAnsi="Calibri" w:cs="Calibri"/>
          <w:color w:val="000000"/>
        </w:rPr>
        <w:t xml:space="preserve">, </w:t>
      </w:r>
      <w:r w:rsidR="002C6F52" w:rsidRPr="002C6F52">
        <w:rPr>
          <w:rFonts w:ascii="Calibri" w:hAnsi="Calibri" w:cs="Calibri"/>
          <w:color w:val="000000"/>
        </w:rPr>
        <w:t>Kenya Meteorological Department</w:t>
      </w:r>
      <w:r w:rsidR="00167446" w:rsidRPr="00167446">
        <w:rPr>
          <w:rFonts w:ascii="Calibri" w:hAnsi="Calibri" w:cs="Calibri"/>
          <w:color w:val="000000"/>
        </w:rPr>
        <w:t xml:space="preserve"> and Climate Action (BMWK). The IKI Fund is a collaboration between the EIB and BMWK to catalyze investments aimed at reducing greenhouse gas emissions and adapting to climate change in developing countries and emerging economies.</w:t>
      </w:r>
    </w:p>
    <w:bookmarkEnd w:id="9"/>
    <w:p w14:paraId="3FC684BB" w14:textId="77777777" w:rsidR="00167446" w:rsidRPr="00167446" w:rsidRDefault="00167446" w:rsidP="00167446">
      <w:pPr>
        <w:jc w:val="both"/>
        <w:rPr>
          <w:rFonts w:ascii="Calibri" w:hAnsi="Calibri" w:cs="Calibri"/>
          <w:color w:val="000000"/>
        </w:rPr>
      </w:pPr>
    </w:p>
    <w:p w14:paraId="3DDEE35C" w14:textId="77777777" w:rsidR="00167446" w:rsidRPr="00167446" w:rsidRDefault="00167446" w:rsidP="00167446">
      <w:pPr>
        <w:jc w:val="both"/>
        <w:rPr>
          <w:rFonts w:ascii="Calibri" w:hAnsi="Calibri" w:cs="Calibri"/>
          <w:color w:val="000000"/>
        </w:rPr>
      </w:pPr>
      <w:r w:rsidRPr="00167446">
        <w:rPr>
          <w:rFonts w:ascii="Calibri" w:hAnsi="Calibri" w:cs="Calibri"/>
          <w:color w:val="000000"/>
        </w:rPr>
        <w:t>Disclaimer: The Central Bank of Kenya (CBK) takes full responsibility for the content of this report. The opinions expressed do not necessarily reflect the views of BMWK or EIB.</w:t>
      </w:r>
    </w:p>
    <w:p w14:paraId="2AC509B4" w14:textId="77777777" w:rsidR="00167446" w:rsidRPr="00167446" w:rsidRDefault="00167446" w:rsidP="00167446">
      <w:pPr>
        <w:jc w:val="both"/>
        <w:rPr>
          <w:rFonts w:ascii="Calibri" w:hAnsi="Calibri" w:cs="Calibri"/>
          <w:color w:val="000000"/>
        </w:rPr>
      </w:pPr>
    </w:p>
    <w:p w14:paraId="74811408" w14:textId="72718250" w:rsidR="00721133" w:rsidRDefault="00167446" w:rsidP="00167446">
      <w:pPr>
        <w:jc w:val="both"/>
        <w:rPr>
          <w:rFonts w:ascii="Calibri" w:hAnsi="Calibri" w:cs="Calibri"/>
          <w:color w:val="000000"/>
        </w:rPr>
      </w:pPr>
      <w:r w:rsidRPr="00167446">
        <w:rPr>
          <w:rFonts w:ascii="Calibri" w:hAnsi="Calibri" w:cs="Calibri"/>
          <w:color w:val="000000"/>
        </w:rPr>
        <w:t>This document was produced and coordinated with significant contributions from the project team at CBK</w:t>
      </w:r>
      <w:r w:rsidR="00524B33">
        <w:rPr>
          <w:rFonts w:ascii="Calibri" w:hAnsi="Calibri" w:cs="Calibri"/>
          <w:color w:val="000000"/>
        </w:rPr>
        <w:t xml:space="preserve"> and authors</w:t>
      </w:r>
      <w:r w:rsidRPr="00167446">
        <w:rPr>
          <w:rFonts w:ascii="Calibri" w:hAnsi="Calibri" w:cs="Calibri"/>
          <w:color w:val="000000"/>
        </w:rPr>
        <w:t xml:space="preserve"> </w:t>
      </w:r>
      <w:r w:rsidR="00524B33" w:rsidRPr="00524B33">
        <w:rPr>
          <w:rFonts w:ascii="Calibri" w:hAnsi="Calibri" w:cs="Calibri"/>
        </w:rPr>
        <w:t>Marjan Stojiljkovic and Enrique Rebolledo</w:t>
      </w:r>
      <w:r w:rsidR="00524B33">
        <w:rPr>
          <w:rFonts w:ascii="Calibri" w:hAnsi="Calibri" w:cs="Calibri"/>
        </w:rPr>
        <w:t>, with s</w:t>
      </w:r>
      <w:r w:rsidR="00524B33" w:rsidRPr="00524B33">
        <w:rPr>
          <w:rFonts w:ascii="Calibri" w:hAnsi="Calibri" w:cs="Calibri"/>
        </w:rPr>
        <w:t>ubstantial inputs provided by Hussein Anooshah, Chloe Prodhomme, Relja Zambelic</w:t>
      </w:r>
      <w:r w:rsidR="00161135">
        <w:rPr>
          <w:rFonts w:ascii="Calibri" w:hAnsi="Calibri" w:cs="Calibri"/>
        </w:rPr>
        <w:t>,</w:t>
      </w:r>
      <w:r w:rsidR="00524B33" w:rsidRPr="00524B33">
        <w:rPr>
          <w:rFonts w:ascii="Calibri" w:hAnsi="Calibri" w:cs="Calibri"/>
        </w:rPr>
        <w:t xml:space="preserve"> Patrick Nganga</w:t>
      </w:r>
      <w:r w:rsidR="00161135">
        <w:rPr>
          <w:rFonts w:ascii="Calibri" w:hAnsi="Calibri" w:cs="Calibri"/>
        </w:rPr>
        <w:t xml:space="preserve"> and Reuben </w:t>
      </w:r>
      <w:r w:rsidR="003202BA">
        <w:rPr>
          <w:rFonts w:ascii="Calibri" w:hAnsi="Calibri" w:cs="Calibri"/>
        </w:rPr>
        <w:t>Wambui</w:t>
      </w:r>
      <w:r w:rsidR="00524B33" w:rsidRPr="00524B33">
        <w:rPr>
          <w:rFonts w:ascii="Calibri" w:hAnsi="Calibri" w:cs="Calibri"/>
        </w:rPr>
        <w:t>.</w:t>
      </w:r>
    </w:p>
    <w:p w14:paraId="7077B353" w14:textId="77777777" w:rsidR="00524B33" w:rsidRDefault="00524B33" w:rsidP="00167446">
      <w:pPr>
        <w:jc w:val="both"/>
        <w:rPr>
          <w:rFonts w:ascii="Calibri" w:hAnsi="Calibri" w:cs="Calibri"/>
          <w:color w:val="000000"/>
        </w:rPr>
      </w:pPr>
    </w:p>
    <w:p w14:paraId="59696AA4" w14:textId="00D267DE" w:rsidR="00524B33" w:rsidRPr="00157082" w:rsidRDefault="00524B33" w:rsidP="00167446">
      <w:pPr>
        <w:jc w:val="both"/>
        <w:rPr>
          <w:rFonts w:ascii="Calibri" w:hAnsi="Calibri" w:cs="Calibri"/>
        </w:rPr>
      </w:pPr>
    </w:p>
    <w:p w14:paraId="0E005B8E" w14:textId="47190A7F" w:rsidR="007B0D18" w:rsidRPr="000804D7" w:rsidRDefault="007B0D18">
      <w:pPr>
        <w:rPr>
          <w:rFonts w:ascii="Calibri" w:hAnsi="Calibri" w:cs="Calibri"/>
          <w:sz w:val="22"/>
          <w:szCs w:val="22"/>
        </w:rPr>
      </w:pPr>
      <w:r w:rsidRPr="000804D7">
        <w:rPr>
          <w:rFonts w:ascii="Calibri" w:hAnsi="Calibri" w:cs="Calibri"/>
          <w:sz w:val="22"/>
          <w:szCs w:val="22"/>
        </w:rPr>
        <w:br w:type="page"/>
      </w:r>
    </w:p>
    <w:p w14:paraId="5F924B14" w14:textId="05601643" w:rsidR="00E03DEC" w:rsidRPr="003C4F95" w:rsidRDefault="005418A1" w:rsidP="0061766C">
      <w:pPr>
        <w:pStyle w:val="Heading1"/>
        <w:pBdr>
          <w:bottom w:val="single" w:sz="8" w:space="1" w:color="2E74B5" w:themeColor="accent5" w:themeShade="BF"/>
        </w:pBdr>
        <w:rPr>
          <w:rFonts w:ascii="Calibri" w:hAnsi="Calibri" w:cs="Calibri"/>
        </w:rPr>
      </w:pPr>
      <w:bookmarkStart w:id="10" w:name="_Toc171908179"/>
      <w:r w:rsidRPr="003C4F95">
        <w:rPr>
          <w:rFonts w:ascii="Calibri" w:hAnsi="Calibri" w:cs="Calibri"/>
        </w:rPr>
        <w:lastRenderedPageBreak/>
        <w:t>Background</w:t>
      </w:r>
      <w:r w:rsidR="00C56D49" w:rsidRPr="003C4F95">
        <w:rPr>
          <w:rFonts w:ascii="Calibri" w:hAnsi="Calibri" w:cs="Calibri"/>
        </w:rPr>
        <w:t>, Purpose,</w:t>
      </w:r>
      <w:r w:rsidRPr="003C4F95">
        <w:rPr>
          <w:rFonts w:ascii="Calibri" w:hAnsi="Calibri" w:cs="Calibri"/>
        </w:rPr>
        <w:t xml:space="preserve"> and Principles</w:t>
      </w:r>
      <w:bookmarkEnd w:id="6"/>
      <w:bookmarkEnd w:id="7"/>
      <w:bookmarkEnd w:id="10"/>
    </w:p>
    <w:p w14:paraId="14C47BC6" w14:textId="77777777" w:rsidR="005E5E6F" w:rsidRPr="003C4F95" w:rsidRDefault="005E5E6F" w:rsidP="00FB0DA0">
      <w:pPr>
        <w:pStyle w:val="ListParagraph"/>
        <w:contextualSpacing w:val="0"/>
        <w:outlineLvl w:val="0"/>
        <w:rPr>
          <w:rFonts w:ascii="Calibri" w:hAnsi="Calibri" w:cs="Calibri"/>
          <w:lang w:val="en-GB"/>
        </w:rPr>
      </w:pPr>
    </w:p>
    <w:p w14:paraId="0AA1B9CA" w14:textId="627774A9" w:rsidR="00AD1E88" w:rsidRPr="003C4F95" w:rsidRDefault="0076317F" w:rsidP="007A755A">
      <w:pPr>
        <w:jc w:val="both"/>
        <w:rPr>
          <w:rFonts w:ascii="Calibri" w:hAnsi="Calibri" w:cs="Calibri"/>
        </w:rPr>
      </w:pPr>
      <w:r w:rsidRPr="003C4F95">
        <w:rPr>
          <w:rFonts w:ascii="Calibri" w:hAnsi="Calibri" w:cs="Calibri"/>
        </w:rPr>
        <w:t xml:space="preserve">In 2021, the Guidance on Climate-related Risk Management </w:t>
      </w:r>
      <w:r w:rsidR="00657A42" w:rsidRPr="003C4F95">
        <w:rPr>
          <w:rFonts w:ascii="Calibri" w:hAnsi="Calibri" w:cs="Calibri"/>
        </w:rPr>
        <w:t>wa</w:t>
      </w:r>
      <w:r w:rsidRPr="003C4F95">
        <w:rPr>
          <w:rFonts w:ascii="Calibri" w:hAnsi="Calibri" w:cs="Calibri"/>
        </w:rPr>
        <w:t>s issued under section</w:t>
      </w:r>
      <w:r w:rsidR="00657A42" w:rsidRPr="003C4F95">
        <w:rPr>
          <w:rFonts w:ascii="Calibri" w:hAnsi="Calibri" w:cs="Calibri"/>
        </w:rPr>
        <w:t xml:space="preserve"> </w:t>
      </w:r>
      <w:r w:rsidRPr="003C4F95">
        <w:rPr>
          <w:rFonts w:ascii="Calibri" w:hAnsi="Calibri" w:cs="Calibri"/>
        </w:rPr>
        <w:t xml:space="preserve">33(4) of the Banking Act, which empowers the Central Bank of Kenya </w:t>
      </w:r>
      <w:r w:rsidR="00FA7B60" w:rsidRPr="003C4F95">
        <w:rPr>
          <w:rFonts w:ascii="Calibri" w:hAnsi="Calibri" w:cs="Calibri"/>
        </w:rPr>
        <w:t xml:space="preserve">(CBK) </w:t>
      </w:r>
      <w:r w:rsidRPr="003C4F95">
        <w:rPr>
          <w:rFonts w:ascii="Calibri" w:hAnsi="Calibri" w:cs="Calibri"/>
        </w:rPr>
        <w:t xml:space="preserve">to guide institutions </w:t>
      </w:r>
      <w:r w:rsidR="002666C8" w:rsidRPr="003C4F95">
        <w:rPr>
          <w:rFonts w:ascii="Calibri" w:hAnsi="Calibri" w:cs="Calibri"/>
        </w:rPr>
        <w:t>to</w:t>
      </w:r>
      <w:r w:rsidRPr="003C4F95">
        <w:rPr>
          <w:rFonts w:ascii="Calibri" w:hAnsi="Calibri" w:cs="Calibri"/>
        </w:rPr>
        <w:t xml:space="preserve"> maintain a stable and efficient banking and financial system.</w:t>
      </w:r>
      <w:r w:rsidR="00657A42" w:rsidRPr="003C4F95">
        <w:rPr>
          <w:rFonts w:ascii="Calibri" w:hAnsi="Calibri" w:cs="Calibri"/>
        </w:rPr>
        <w:t xml:space="preserve"> </w:t>
      </w:r>
      <w:r w:rsidR="00AD1E88" w:rsidRPr="003C4F95">
        <w:rPr>
          <w:rFonts w:ascii="Calibri" w:hAnsi="Calibri" w:cs="Calibri"/>
        </w:rPr>
        <w:t xml:space="preserve">Today, this Guidance constitutes the main document assisting financial institutions in effectively managing climate-related risks by incorporating them into their business decisions and operations. It offers a structured approach for institutions to integrate climate-related risks into their decision-making processes. </w:t>
      </w:r>
    </w:p>
    <w:p w14:paraId="009CED70" w14:textId="77777777" w:rsidR="00AD1E88" w:rsidRPr="003C4F95" w:rsidRDefault="00AD1E88" w:rsidP="007A755A">
      <w:pPr>
        <w:jc w:val="both"/>
        <w:rPr>
          <w:rFonts w:ascii="Calibri" w:hAnsi="Calibri" w:cs="Calibri"/>
        </w:rPr>
      </w:pPr>
    </w:p>
    <w:p w14:paraId="311F3D2B" w14:textId="3BC43E06" w:rsidR="00AD1E88" w:rsidRPr="003C4F95" w:rsidRDefault="00AD1E88" w:rsidP="00AD1E88">
      <w:pPr>
        <w:pStyle w:val="Caption"/>
        <w:rPr>
          <w:rFonts w:ascii="Calibri" w:hAnsi="Calibri" w:cs="Calibri"/>
          <w:b/>
          <w:bCs/>
          <w:i w:val="0"/>
          <w:iCs w:val="0"/>
          <w:color w:val="ED7D31" w:themeColor="accent2"/>
          <w:sz w:val="24"/>
          <w:szCs w:val="24"/>
          <w:lang w:val="en-GB"/>
        </w:rPr>
      </w:pPr>
      <w:bookmarkStart w:id="11" w:name="_Toc175223816"/>
      <w:r w:rsidRPr="003C4F95">
        <w:rPr>
          <w:rFonts w:ascii="Calibri" w:hAnsi="Calibri" w:cs="Calibri"/>
          <w:b/>
          <w:bCs/>
          <w:i w:val="0"/>
          <w:iCs w:val="0"/>
          <w:color w:val="ED7D31" w:themeColor="accent2"/>
          <w:sz w:val="24"/>
          <w:szCs w:val="24"/>
          <w:lang w:val="en-GB"/>
        </w:rPr>
        <w:t xml:space="preserve">Figure </w:t>
      </w:r>
      <w:r w:rsidRPr="00616282">
        <w:rPr>
          <w:rFonts w:ascii="Calibri" w:hAnsi="Calibri" w:cs="Calibri"/>
          <w:b/>
          <w:bCs/>
          <w:i w:val="0"/>
          <w:iCs w:val="0"/>
          <w:color w:val="ED7D31" w:themeColor="accent2"/>
          <w:sz w:val="24"/>
          <w:szCs w:val="24"/>
          <w:lang w:val="en-GB"/>
        </w:rPr>
        <w:fldChar w:fldCharType="begin"/>
      </w:r>
      <w:r w:rsidRPr="003C4F95">
        <w:rPr>
          <w:rFonts w:ascii="Calibri" w:hAnsi="Calibri" w:cs="Calibri"/>
          <w:b/>
          <w:bCs/>
          <w:i w:val="0"/>
          <w:iCs w:val="0"/>
          <w:color w:val="ED7D31" w:themeColor="accent2"/>
          <w:sz w:val="24"/>
          <w:szCs w:val="24"/>
          <w:lang w:val="en-GB"/>
        </w:rPr>
        <w:instrText xml:space="preserve"> SEQ Figure \* ARABIC </w:instrText>
      </w:r>
      <w:r w:rsidRPr="00616282">
        <w:rPr>
          <w:rFonts w:ascii="Calibri" w:hAnsi="Calibri" w:cs="Calibri"/>
          <w:b/>
          <w:bCs/>
          <w:i w:val="0"/>
          <w:iCs w:val="0"/>
          <w:color w:val="ED7D31" w:themeColor="accent2"/>
          <w:sz w:val="24"/>
          <w:szCs w:val="24"/>
          <w:lang w:val="en-GB"/>
        </w:rPr>
        <w:fldChar w:fldCharType="separate"/>
      </w:r>
      <w:r w:rsidR="0096670A">
        <w:rPr>
          <w:rFonts w:ascii="Calibri" w:hAnsi="Calibri" w:cs="Calibri"/>
          <w:b/>
          <w:bCs/>
          <w:i w:val="0"/>
          <w:iCs w:val="0"/>
          <w:noProof/>
          <w:color w:val="ED7D31" w:themeColor="accent2"/>
          <w:sz w:val="24"/>
          <w:szCs w:val="24"/>
          <w:lang w:val="en-GB"/>
        </w:rPr>
        <w:t>1</w:t>
      </w:r>
      <w:r w:rsidRPr="00616282">
        <w:rPr>
          <w:rFonts w:ascii="Calibri" w:hAnsi="Calibri" w:cs="Calibri"/>
          <w:b/>
          <w:bCs/>
          <w:i w:val="0"/>
          <w:iCs w:val="0"/>
          <w:color w:val="ED7D31" w:themeColor="accent2"/>
          <w:sz w:val="24"/>
          <w:szCs w:val="24"/>
          <w:lang w:val="en-GB"/>
        </w:rPr>
        <w:fldChar w:fldCharType="end"/>
      </w:r>
      <w:r w:rsidRPr="003C4F95">
        <w:rPr>
          <w:rFonts w:ascii="Calibri" w:hAnsi="Calibri" w:cs="Calibri"/>
          <w:b/>
          <w:bCs/>
          <w:i w:val="0"/>
          <w:iCs w:val="0"/>
          <w:color w:val="ED7D31" w:themeColor="accent2"/>
          <w:sz w:val="24"/>
          <w:szCs w:val="24"/>
          <w:lang w:val="en-GB"/>
        </w:rPr>
        <w:t>. Climate change impacts on the financial industry</w:t>
      </w:r>
      <w:bookmarkEnd w:id="11"/>
    </w:p>
    <w:p w14:paraId="167A5B36" w14:textId="77777777" w:rsidR="00AD1E88" w:rsidRPr="00616282" w:rsidRDefault="00AD1E88" w:rsidP="00AD1E88">
      <w:pPr>
        <w:jc w:val="center"/>
        <w:rPr>
          <w:rFonts w:ascii="Calibri" w:hAnsi="Calibri" w:cs="Calibri"/>
          <w:lang w:val="en-GB"/>
        </w:rPr>
      </w:pPr>
      <w:r w:rsidRPr="00616282">
        <w:rPr>
          <w:rFonts w:ascii="Calibri" w:hAnsi="Calibri" w:cs="Calibri"/>
          <w:noProof/>
          <w:lang w:val="en-GB"/>
        </w:rPr>
        <w:drawing>
          <wp:inline distT="0" distB="0" distL="0" distR="0" wp14:anchorId="6B4DB65E" wp14:editId="69CC9389">
            <wp:extent cx="4297874" cy="2396989"/>
            <wp:effectExtent l="0" t="0" r="0" b="3810"/>
            <wp:docPr id="635787237" name="Picture 1" descr="A diagram of a diagram of a company&#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5787237" name="Picture 1" descr="A diagram of a diagram of a company&#10;&#10;Description automatically generated with medium confidence"/>
                    <pic:cNvPicPr/>
                  </pic:nvPicPr>
                  <pic:blipFill rotWithShape="1">
                    <a:blip r:embed="rId12">
                      <a:extLst>
                        <a:ext uri="{28A0092B-C50C-407E-A947-70E740481C1C}">
                          <a14:useLocalDpi xmlns:a14="http://schemas.microsoft.com/office/drawing/2010/main"/>
                        </a:ext>
                      </a:extLst>
                    </a:blip>
                    <a:srcRect/>
                    <a:stretch/>
                  </pic:blipFill>
                  <pic:spPr bwMode="auto">
                    <a:xfrm>
                      <a:off x="0" y="0"/>
                      <a:ext cx="4297874" cy="2396989"/>
                    </a:xfrm>
                    <a:prstGeom prst="rect">
                      <a:avLst/>
                    </a:prstGeom>
                    <a:ln>
                      <a:noFill/>
                    </a:ln>
                    <a:extLst>
                      <a:ext uri="{53640926-AAD7-44D8-BBD7-CCE9431645EC}">
                        <a14:shadowObscured xmlns:a14="http://schemas.microsoft.com/office/drawing/2010/main"/>
                      </a:ext>
                    </a:extLst>
                  </pic:spPr>
                </pic:pic>
              </a:graphicData>
            </a:graphic>
          </wp:inline>
        </w:drawing>
      </w:r>
    </w:p>
    <w:p w14:paraId="6F09F01F" w14:textId="77777777" w:rsidR="00AD1E88" w:rsidRPr="00616282" w:rsidRDefault="00AD1E88" w:rsidP="00AD1E88">
      <w:pPr>
        <w:rPr>
          <w:rFonts w:ascii="Calibri" w:hAnsi="Calibri" w:cs="Calibri"/>
          <w:i/>
          <w:iCs/>
          <w:sz w:val="20"/>
          <w:szCs w:val="20"/>
          <w:lang w:val="en-GB"/>
        </w:rPr>
      </w:pPr>
      <w:r w:rsidRPr="00616282">
        <w:rPr>
          <w:rFonts w:ascii="Calibri" w:hAnsi="Calibri" w:cs="Calibri"/>
          <w:b/>
          <w:bCs/>
          <w:i/>
          <w:iCs/>
          <w:sz w:val="20"/>
          <w:szCs w:val="20"/>
          <w:lang w:val="en-GB"/>
        </w:rPr>
        <w:t>Source:</w:t>
      </w:r>
      <w:r w:rsidRPr="00616282">
        <w:rPr>
          <w:rFonts w:ascii="Calibri" w:hAnsi="Calibri" w:cs="Calibri"/>
          <w:i/>
          <w:iCs/>
          <w:sz w:val="20"/>
          <w:szCs w:val="20"/>
          <w:lang w:val="en-GB"/>
        </w:rPr>
        <w:t xml:space="preserve"> Bank of England. 2018. Transition in thinking: The impact of climate change on the UK banking sector.</w:t>
      </w:r>
    </w:p>
    <w:p w14:paraId="51E837F2" w14:textId="33D24C54" w:rsidR="00AD1E88" w:rsidRPr="00616282" w:rsidRDefault="00AD1E88" w:rsidP="007A755A">
      <w:pPr>
        <w:jc w:val="both"/>
        <w:rPr>
          <w:rFonts w:ascii="Calibri" w:hAnsi="Calibri" w:cs="Calibri"/>
        </w:rPr>
      </w:pPr>
    </w:p>
    <w:p w14:paraId="1B646A27" w14:textId="77777777" w:rsidR="001B20F4" w:rsidRPr="00616282" w:rsidRDefault="00657A42" w:rsidP="007A755A">
      <w:pPr>
        <w:jc w:val="both"/>
        <w:rPr>
          <w:rFonts w:ascii="Calibri" w:hAnsi="Calibri" w:cs="Calibri"/>
        </w:rPr>
      </w:pPr>
      <w:r w:rsidRPr="00616282">
        <w:rPr>
          <w:rFonts w:ascii="Calibri" w:hAnsi="Calibri" w:cs="Calibri"/>
        </w:rPr>
        <w:t xml:space="preserve">The </w:t>
      </w:r>
      <w:r w:rsidR="003B575F" w:rsidRPr="00616282">
        <w:rPr>
          <w:rFonts w:ascii="Calibri" w:hAnsi="Calibri" w:cs="Calibri"/>
        </w:rPr>
        <w:t>Guidance</w:t>
      </w:r>
      <w:r w:rsidRPr="00616282">
        <w:rPr>
          <w:rFonts w:ascii="Calibri" w:hAnsi="Calibri" w:cs="Calibri"/>
        </w:rPr>
        <w:t xml:space="preserve"> outlines essential requirements that institutions should consider implementing to integrate climate-related financial risks into their risk management frameworks. It has been aligned with global best practices and recommendations from the Basel Committee on Banking Supervision</w:t>
      </w:r>
      <w:r w:rsidR="00625EE6" w:rsidRPr="00616282">
        <w:rPr>
          <w:rFonts w:ascii="Calibri" w:hAnsi="Calibri" w:cs="Calibri"/>
        </w:rPr>
        <w:t xml:space="preserve"> (BCBS)</w:t>
      </w:r>
      <w:r w:rsidRPr="00616282">
        <w:rPr>
          <w:rFonts w:ascii="Calibri" w:hAnsi="Calibri" w:cs="Calibri"/>
        </w:rPr>
        <w:t xml:space="preserve">. </w:t>
      </w:r>
    </w:p>
    <w:p w14:paraId="6E4C45B4" w14:textId="77777777" w:rsidR="001B20F4" w:rsidRPr="00616282" w:rsidRDefault="001B20F4" w:rsidP="007A755A">
      <w:pPr>
        <w:jc w:val="both"/>
        <w:rPr>
          <w:rFonts w:ascii="Calibri" w:hAnsi="Calibri" w:cs="Calibri"/>
        </w:rPr>
      </w:pPr>
    </w:p>
    <w:p w14:paraId="48F5F74D" w14:textId="0E04CC75" w:rsidR="00125BDE" w:rsidRPr="00616282" w:rsidRDefault="00C94FB7" w:rsidP="00125BDE">
      <w:pPr>
        <w:jc w:val="both"/>
        <w:rPr>
          <w:rFonts w:ascii="Calibri" w:hAnsi="Calibri" w:cs="Calibri"/>
        </w:rPr>
      </w:pPr>
      <w:r w:rsidRPr="00616282">
        <w:rPr>
          <w:rFonts w:ascii="Calibri" w:hAnsi="Calibri" w:cs="Calibri"/>
        </w:rPr>
        <w:t>Since its publication,</w:t>
      </w:r>
      <w:r w:rsidR="00E43E18" w:rsidRPr="00616282">
        <w:rPr>
          <w:rFonts w:ascii="Calibri" w:hAnsi="Calibri" w:cs="Calibri"/>
        </w:rPr>
        <w:t xml:space="preserve"> the </w:t>
      </w:r>
      <w:r w:rsidR="005933EE" w:rsidRPr="00616282">
        <w:rPr>
          <w:rFonts w:ascii="Calibri" w:hAnsi="Calibri" w:cs="Calibri"/>
        </w:rPr>
        <w:t xml:space="preserve">state of </w:t>
      </w:r>
      <w:r w:rsidR="00E43E18" w:rsidRPr="00616282">
        <w:rPr>
          <w:rFonts w:ascii="Calibri" w:hAnsi="Calibri" w:cs="Calibri"/>
        </w:rPr>
        <w:t xml:space="preserve">climate finance and climate risk </w:t>
      </w:r>
      <w:r w:rsidR="00F42ACD" w:rsidRPr="00616282">
        <w:rPr>
          <w:rFonts w:ascii="Calibri" w:hAnsi="Calibri" w:cs="Calibri"/>
        </w:rPr>
        <w:t xml:space="preserve">for the financial sector </w:t>
      </w:r>
      <w:r w:rsidR="00E43E18" w:rsidRPr="00616282">
        <w:rPr>
          <w:rFonts w:ascii="Calibri" w:hAnsi="Calibri" w:cs="Calibri"/>
        </w:rPr>
        <w:t>has been evolving and maturing</w:t>
      </w:r>
      <w:r w:rsidR="00072E8B" w:rsidRPr="00616282">
        <w:rPr>
          <w:rFonts w:ascii="Calibri" w:hAnsi="Calibri" w:cs="Calibri"/>
        </w:rPr>
        <w:t xml:space="preserve"> </w:t>
      </w:r>
      <w:r w:rsidR="00431957" w:rsidRPr="00616282">
        <w:rPr>
          <w:rFonts w:ascii="Calibri" w:hAnsi="Calibri" w:cs="Calibri"/>
        </w:rPr>
        <w:t>rapidly</w:t>
      </w:r>
      <w:r w:rsidR="00EB7998" w:rsidRPr="00616282">
        <w:rPr>
          <w:rFonts w:ascii="Calibri" w:hAnsi="Calibri" w:cs="Calibri"/>
        </w:rPr>
        <w:t xml:space="preserve"> across practices,</w:t>
      </w:r>
      <w:r w:rsidR="00072E8B" w:rsidRPr="00616282">
        <w:rPr>
          <w:rFonts w:ascii="Calibri" w:hAnsi="Calibri" w:cs="Calibri"/>
        </w:rPr>
        <w:t xml:space="preserve"> standards</w:t>
      </w:r>
      <w:r w:rsidR="00EB7998" w:rsidRPr="00616282">
        <w:rPr>
          <w:rFonts w:ascii="Calibri" w:hAnsi="Calibri" w:cs="Calibri"/>
        </w:rPr>
        <w:t xml:space="preserve">, </w:t>
      </w:r>
      <w:r w:rsidR="00E363CF" w:rsidRPr="00616282">
        <w:rPr>
          <w:rFonts w:ascii="Calibri" w:hAnsi="Calibri" w:cs="Calibri"/>
        </w:rPr>
        <w:t xml:space="preserve">and </w:t>
      </w:r>
      <w:r w:rsidR="00467A08" w:rsidRPr="00616282">
        <w:rPr>
          <w:rFonts w:ascii="Calibri" w:hAnsi="Calibri" w:cs="Calibri"/>
        </w:rPr>
        <w:t>disclosure frameworks</w:t>
      </w:r>
      <w:r w:rsidR="00E363CF" w:rsidRPr="00616282">
        <w:rPr>
          <w:rFonts w:ascii="Calibri" w:hAnsi="Calibri" w:cs="Calibri"/>
        </w:rPr>
        <w:t xml:space="preserve">. </w:t>
      </w:r>
      <w:r w:rsidR="00A16828" w:rsidRPr="00616282">
        <w:rPr>
          <w:rFonts w:ascii="Calibri" w:hAnsi="Calibri" w:cs="Calibri"/>
        </w:rPr>
        <w:t>Most notabl</w:t>
      </w:r>
      <w:r w:rsidR="00CC3D17">
        <w:rPr>
          <w:rFonts w:ascii="Calibri" w:hAnsi="Calibri" w:cs="Calibri"/>
        </w:rPr>
        <w:t>y</w:t>
      </w:r>
      <w:r w:rsidR="00EA7784" w:rsidRPr="00616282">
        <w:rPr>
          <w:rFonts w:ascii="Calibri" w:hAnsi="Calibri" w:cs="Calibri"/>
        </w:rPr>
        <w:t>,</w:t>
      </w:r>
      <w:r w:rsidR="00A16828" w:rsidRPr="00616282">
        <w:rPr>
          <w:rFonts w:ascii="Calibri" w:hAnsi="Calibri" w:cs="Calibri"/>
        </w:rPr>
        <w:t xml:space="preserve"> the </w:t>
      </w:r>
      <w:r w:rsidR="00204217" w:rsidRPr="00204217">
        <w:rPr>
          <w:rFonts w:ascii="Calibri" w:hAnsi="Calibri" w:cs="Calibri"/>
        </w:rPr>
        <w:t xml:space="preserve">International Financial Reporting Standards </w:t>
      </w:r>
      <w:r w:rsidR="00982B2E">
        <w:rPr>
          <w:rFonts w:ascii="Calibri" w:hAnsi="Calibri" w:cs="Calibri"/>
        </w:rPr>
        <w:t>(</w:t>
      </w:r>
      <w:r w:rsidR="00A16828" w:rsidRPr="00616282">
        <w:rPr>
          <w:rFonts w:ascii="Calibri" w:hAnsi="Calibri" w:cs="Calibri"/>
        </w:rPr>
        <w:t>IFRS</w:t>
      </w:r>
      <w:r w:rsidR="00982B2E">
        <w:rPr>
          <w:rFonts w:ascii="Calibri" w:hAnsi="Calibri" w:cs="Calibri"/>
        </w:rPr>
        <w:t>)</w:t>
      </w:r>
      <w:r w:rsidR="00A16828" w:rsidRPr="00616282">
        <w:rPr>
          <w:rFonts w:ascii="Calibri" w:hAnsi="Calibri" w:cs="Calibri"/>
        </w:rPr>
        <w:t xml:space="preserve"> S2</w:t>
      </w:r>
      <w:r w:rsidR="00ED4813" w:rsidRPr="00616282">
        <w:rPr>
          <w:rFonts w:ascii="Calibri" w:hAnsi="Calibri" w:cs="Calibri"/>
        </w:rPr>
        <w:t xml:space="preserve">, successor to the </w:t>
      </w:r>
      <w:r w:rsidR="004205F3" w:rsidRPr="004205F3">
        <w:rPr>
          <w:rFonts w:ascii="Calibri" w:hAnsi="Calibri" w:cs="Calibri"/>
        </w:rPr>
        <w:t xml:space="preserve">Task Force on Climate-related Financial Disclosures </w:t>
      </w:r>
      <w:r w:rsidR="004205F3">
        <w:rPr>
          <w:rFonts w:ascii="Calibri" w:hAnsi="Calibri" w:cs="Calibri"/>
        </w:rPr>
        <w:t>(</w:t>
      </w:r>
      <w:r w:rsidR="00ED4813" w:rsidRPr="00616282">
        <w:rPr>
          <w:rFonts w:ascii="Calibri" w:hAnsi="Calibri" w:cs="Calibri"/>
        </w:rPr>
        <w:t>TCFD</w:t>
      </w:r>
      <w:r w:rsidR="004205F3">
        <w:rPr>
          <w:rFonts w:ascii="Calibri" w:hAnsi="Calibri" w:cs="Calibri"/>
        </w:rPr>
        <w:t>)</w:t>
      </w:r>
      <w:r w:rsidR="00ED4813" w:rsidRPr="00616282">
        <w:rPr>
          <w:rFonts w:ascii="Calibri" w:hAnsi="Calibri" w:cs="Calibri"/>
        </w:rPr>
        <w:t xml:space="preserve">, </w:t>
      </w:r>
      <w:r w:rsidR="008570D9" w:rsidRPr="00616282">
        <w:rPr>
          <w:rFonts w:ascii="Calibri" w:hAnsi="Calibri" w:cs="Calibri"/>
        </w:rPr>
        <w:t>is</w:t>
      </w:r>
      <w:r w:rsidR="00ED4813" w:rsidRPr="00616282">
        <w:rPr>
          <w:rFonts w:ascii="Calibri" w:hAnsi="Calibri" w:cs="Calibri"/>
        </w:rPr>
        <w:t xml:space="preserve"> </w:t>
      </w:r>
      <w:r w:rsidR="007A3783" w:rsidRPr="00616282">
        <w:rPr>
          <w:rFonts w:ascii="Calibri" w:hAnsi="Calibri" w:cs="Calibri"/>
        </w:rPr>
        <w:t xml:space="preserve">quickly </w:t>
      </w:r>
      <w:r w:rsidR="008570D9" w:rsidRPr="00616282">
        <w:rPr>
          <w:rFonts w:ascii="Calibri" w:hAnsi="Calibri" w:cs="Calibri"/>
        </w:rPr>
        <w:t xml:space="preserve">becoming the global climate-related financial disclosure benchmark. </w:t>
      </w:r>
      <w:r w:rsidR="00625EE6" w:rsidRPr="00616282">
        <w:rPr>
          <w:rFonts w:ascii="Calibri" w:hAnsi="Calibri" w:cs="Calibri"/>
        </w:rPr>
        <w:t>The BCBS</w:t>
      </w:r>
      <w:r w:rsidR="00B94477" w:rsidRPr="00616282">
        <w:rPr>
          <w:rFonts w:ascii="Calibri" w:hAnsi="Calibri" w:cs="Calibri"/>
        </w:rPr>
        <w:t xml:space="preserve"> </w:t>
      </w:r>
      <w:r w:rsidR="00625EE6" w:rsidRPr="00616282">
        <w:rPr>
          <w:rFonts w:ascii="Calibri" w:hAnsi="Calibri" w:cs="Calibri"/>
        </w:rPr>
        <w:t>has also</w:t>
      </w:r>
      <w:r w:rsidR="00A72E5D" w:rsidRPr="00616282">
        <w:rPr>
          <w:rFonts w:ascii="Calibri" w:hAnsi="Calibri" w:cs="Calibri"/>
        </w:rPr>
        <w:t xml:space="preserve"> recently</w:t>
      </w:r>
      <w:r w:rsidR="00625EE6" w:rsidRPr="00616282">
        <w:rPr>
          <w:rFonts w:ascii="Calibri" w:hAnsi="Calibri" w:cs="Calibri"/>
        </w:rPr>
        <w:t xml:space="preserve"> launched </w:t>
      </w:r>
      <w:r w:rsidR="00A72E5D" w:rsidRPr="00616282">
        <w:rPr>
          <w:rFonts w:ascii="Calibri" w:hAnsi="Calibri" w:cs="Calibri"/>
        </w:rPr>
        <w:t xml:space="preserve">a public </w:t>
      </w:r>
      <w:r w:rsidR="00A72E5D" w:rsidRPr="00167446">
        <w:rPr>
          <w:rFonts w:ascii="Calibri" w:hAnsi="Calibri" w:cs="Calibri"/>
        </w:rPr>
        <w:t>consultation paper on a Pillar 3 disclosure framework for climate-related financial risks</w:t>
      </w:r>
      <w:r w:rsidR="00B85F36" w:rsidRPr="00167446">
        <w:rPr>
          <w:rFonts w:ascii="Calibri" w:hAnsi="Calibri" w:cs="Calibri"/>
        </w:rPr>
        <w:t>.</w:t>
      </w:r>
      <w:r w:rsidR="00467A08" w:rsidRPr="00167446">
        <w:rPr>
          <w:rFonts w:ascii="Calibri" w:hAnsi="Calibri" w:cs="Calibri"/>
        </w:rPr>
        <w:t xml:space="preserve"> </w:t>
      </w:r>
      <w:r w:rsidR="00167446" w:rsidRPr="00167446">
        <w:rPr>
          <w:rFonts w:ascii="Calibri" w:hAnsi="Calibri" w:cs="Calibri"/>
          <w:bCs/>
        </w:rPr>
        <w:t>Against this backdrop, CBK is formalizing a reporting and disclosure framework for climate-related financial risks (the ‘Framework’), which will update and provide additional guidance to the 'Guidance on Climate-Related Risk Management' issued by CBK in 2021.</w:t>
      </w:r>
      <w:r w:rsidR="00FA7B60" w:rsidRPr="00616282">
        <w:rPr>
          <w:rFonts w:ascii="Calibri" w:hAnsi="Calibri" w:cs="Calibri"/>
        </w:rPr>
        <w:t xml:space="preserve"> </w:t>
      </w:r>
    </w:p>
    <w:p w14:paraId="1F1D3033" w14:textId="77777777" w:rsidR="00125BDE" w:rsidRPr="00616282" w:rsidRDefault="00125BDE" w:rsidP="00125BDE">
      <w:pPr>
        <w:jc w:val="both"/>
        <w:rPr>
          <w:rFonts w:ascii="Calibri" w:hAnsi="Calibri" w:cs="Calibri"/>
        </w:rPr>
      </w:pPr>
    </w:p>
    <w:p w14:paraId="51D4B719" w14:textId="3113183F" w:rsidR="000F55A0" w:rsidRPr="000370EA" w:rsidRDefault="002666C8" w:rsidP="00125BDE">
      <w:pPr>
        <w:jc w:val="both"/>
        <w:rPr>
          <w:rFonts w:ascii="Calibri" w:hAnsi="Calibri" w:cs="Calibri"/>
          <w:u w:val="single"/>
        </w:rPr>
      </w:pPr>
      <w:r w:rsidRPr="000370EA">
        <w:rPr>
          <w:rFonts w:ascii="Calibri" w:hAnsi="Calibri" w:cs="Calibri"/>
          <w:u w:val="single"/>
        </w:rPr>
        <w:t>To</w:t>
      </w:r>
      <w:r w:rsidR="00125BDE" w:rsidRPr="000370EA">
        <w:rPr>
          <w:rFonts w:ascii="Calibri" w:hAnsi="Calibri" w:cs="Calibri"/>
          <w:u w:val="single"/>
        </w:rPr>
        <w:t xml:space="preserve"> assist commercial </w:t>
      </w:r>
      <w:r w:rsidR="00A74BD5" w:rsidRPr="000370EA">
        <w:rPr>
          <w:rFonts w:ascii="Calibri" w:hAnsi="Calibri" w:cs="Calibri"/>
          <w:u w:val="single"/>
        </w:rPr>
        <w:t>banks</w:t>
      </w:r>
      <w:r w:rsidR="00CC3D17">
        <w:rPr>
          <w:rFonts w:ascii="Calibri" w:hAnsi="Calibri" w:cs="Calibri"/>
          <w:u w:val="single"/>
        </w:rPr>
        <w:t xml:space="preserve"> in</w:t>
      </w:r>
      <w:r w:rsidR="00125BDE" w:rsidRPr="000370EA">
        <w:rPr>
          <w:rFonts w:ascii="Calibri" w:hAnsi="Calibri" w:cs="Calibri"/>
          <w:u w:val="single"/>
        </w:rPr>
        <w:t xml:space="preserve"> disclos</w:t>
      </w:r>
      <w:r w:rsidR="00CC3D17">
        <w:rPr>
          <w:rFonts w:ascii="Calibri" w:hAnsi="Calibri" w:cs="Calibri"/>
          <w:u w:val="single"/>
        </w:rPr>
        <w:t>ing</w:t>
      </w:r>
      <w:r w:rsidR="00125BDE" w:rsidRPr="000370EA">
        <w:rPr>
          <w:rFonts w:ascii="Calibri" w:hAnsi="Calibri" w:cs="Calibri"/>
          <w:u w:val="single"/>
        </w:rPr>
        <w:t xml:space="preserve"> </w:t>
      </w:r>
      <w:r w:rsidR="000F55A0" w:rsidRPr="000370EA">
        <w:rPr>
          <w:rFonts w:ascii="Calibri" w:hAnsi="Calibri" w:cs="Calibri"/>
          <w:u w:val="single"/>
        </w:rPr>
        <w:t>climate-</w:t>
      </w:r>
      <w:r w:rsidR="00125BDE" w:rsidRPr="000370EA">
        <w:rPr>
          <w:rFonts w:ascii="Calibri" w:hAnsi="Calibri" w:cs="Calibri"/>
          <w:u w:val="single"/>
        </w:rPr>
        <w:t>related information in a relevant, useful, consistent and comparable manner</w:t>
      </w:r>
      <w:r w:rsidR="00845BF4">
        <w:rPr>
          <w:rFonts w:ascii="Calibri" w:hAnsi="Calibri" w:cs="Calibri"/>
          <w:u w:val="single"/>
        </w:rPr>
        <w:t>,</w:t>
      </w:r>
      <w:r w:rsidR="00125BDE" w:rsidRPr="000370EA">
        <w:rPr>
          <w:rFonts w:ascii="Calibri" w:hAnsi="Calibri" w:cs="Calibri"/>
          <w:u w:val="single"/>
        </w:rPr>
        <w:t xml:space="preserve"> the </w:t>
      </w:r>
      <w:r w:rsidR="000F55A0" w:rsidRPr="000370EA">
        <w:rPr>
          <w:rFonts w:ascii="Calibri" w:hAnsi="Calibri" w:cs="Calibri"/>
          <w:u w:val="single"/>
        </w:rPr>
        <w:t xml:space="preserve">Climate-Related </w:t>
      </w:r>
      <w:r w:rsidR="00125BDE" w:rsidRPr="000370EA">
        <w:rPr>
          <w:rFonts w:ascii="Calibri" w:hAnsi="Calibri" w:cs="Calibri"/>
          <w:u w:val="single"/>
        </w:rPr>
        <w:t xml:space="preserve">Reporting and Disclosure </w:t>
      </w:r>
      <w:r w:rsidR="000F55A0" w:rsidRPr="000370EA">
        <w:rPr>
          <w:rFonts w:ascii="Calibri" w:hAnsi="Calibri" w:cs="Calibri"/>
          <w:u w:val="single"/>
        </w:rPr>
        <w:t>Framework a</w:t>
      </w:r>
      <w:r w:rsidR="00125BDE" w:rsidRPr="000370EA">
        <w:rPr>
          <w:rFonts w:ascii="Calibri" w:hAnsi="Calibri" w:cs="Calibri"/>
          <w:u w:val="single"/>
        </w:rPr>
        <w:t>nd corresponding template</w:t>
      </w:r>
      <w:r w:rsidR="000F55A0" w:rsidRPr="000370EA">
        <w:rPr>
          <w:rFonts w:ascii="Calibri" w:hAnsi="Calibri" w:cs="Calibri"/>
          <w:u w:val="single"/>
        </w:rPr>
        <w:t>s</w:t>
      </w:r>
      <w:r w:rsidR="00125BDE" w:rsidRPr="000370EA">
        <w:rPr>
          <w:rFonts w:ascii="Calibri" w:hAnsi="Calibri" w:cs="Calibri"/>
          <w:u w:val="single"/>
        </w:rPr>
        <w:t xml:space="preserve"> have been developed. </w:t>
      </w:r>
    </w:p>
    <w:p w14:paraId="3CE5BF63" w14:textId="77777777" w:rsidR="000F55A0" w:rsidRPr="000370EA" w:rsidRDefault="000F55A0" w:rsidP="00125BDE">
      <w:pPr>
        <w:jc w:val="both"/>
        <w:rPr>
          <w:rFonts w:ascii="Calibri" w:hAnsi="Calibri" w:cs="Calibri"/>
        </w:rPr>
      </w:pPr>
    </w:p>
    <w:p w14:paraId="3D7325B8" w14:textId="1B557122" w:rsidR="00047596" w:rsidRPr="00616282" w:rsidRDefault="00125BDE" w:rsidP="001B20F4">
      <w:pPr>
        <w:jc w:val="both"/>
        <w:rPr>
          <w:rFonts w:ascii="Calibri" w:hAnsi="Calibri" w:cs="Calibri"/>
        </w:rPr>
      </w:pPr>
      <w:r w:rsidRPr="00616282">
        <w:rPr>
          <w:rFonts w:ascii="Calibri" w:hAnsi="Calibri" w:cs="Calibri"/>
        </w:rPr>
        <w:t>Such enhanced disclosure on</w:t>
      </w:r>
      <w:r w:rsidR="000F55A0" w:rsidRPr="00616282">
        <w:rPr>
          <w:rFonts w:ascii="Calibri" w:hAnsi="Calibri" w:cs="Calibri"/>
        </w:rPr>
        <w:t xml:space="preserve"> </w:t>
      </w:r>
      <w:r w:rsidR="0008057D">
        <w:rPr>
          <w:rFonts w:ascii="Calibri" w:hAnsi="Calibri" w:cs="Calibri"/>
        </w:rPr>
        <w:t>climate-related</w:t>
      </w:r>
      <w:r w:rsidR="000F55A0" w:rsidRPr="00616282">
        <w:rPr>
          <w:rFonts w:ascii="Calibri" w:hAnsi="Calibri" w:cs="Calibri"/>
        </w:rPr>
        <w:t xml:space="preserve"> issues</w:t>
      </w:r>
      <w:r w:rsidRPr="00616282">
        <w:rPr>
          <w:rFonts w:ascii="Calibri" w:hAnsi="Calibri" w:cs="Calibri"/>
        </w:rPr>
        <w:t xml:space="preserve"> also aims to help </w:t>
      </w:r>
      <w:r w:rsidR="000F55A0" w:rsidRPr="00616282">
        <w:rPr>
          <w:rFonts w:ascii="Calibri" w:hAnsi="Calibri" w:cs="Calibri"/>
        </w:rPr>
        <w:t>Kenya</w:t>
      </w:r>
      <w:r w:rsidRPr="00616282">
        <w:rPr>
          <w:rFonts w:ascii="Calibri" w:hAnsi="Calibri" w:cs="Calibri"/>
        </w:rPr>
        <w:t xml:space="preserve">'s financial sector promote </w:t>
      </w:r>
      <w:r w:rsidR="00FD4884" w:rsidRPr="00616282">
        <w:rPr>
          <w:rFonts w:ascii="Calibri" w:hAnsi="Calibri" w:cs="Calibri"/>
        </w:rPr>
        <w:t xml:space="preserve">climate </w:t>
      </w:r>
      <w:r w:rsidRPr="00616282">
        <w:rPr>
          <w:rFonts w:ascii="Calibri" w:hAnsi="Calibri" w:cs="Calibri"/>
        </w:rPr>
        <w:t>risk management and improve transparency</w:t>
      </w:r>
      <w:r w:rsidR="00845BF4">
        <w:rPr>
          <w:rFonts w:ascii="Calibri" w:hAnsi="Calibri" w:cs="Calibri"/>
        </w:rPr>
        <w:t xml:space="preserve"> and reporting</w:t>
      </w:r>
      <w:r w:rsidR="00FD4884" w:rsidRPr="00616282">
        <w:rPr>
          <w:rFonts w:ascii="Calibri" w:hAnsi="Calibri" w:cs="Calibri"/>
        </w:rPr>
        <w:t xml:space="preserve">. Furthermore, the </w:t>
      </w:r>
      <w:r w:rsidR="00047596" w:rsidRPr="00616282">
        <w:rPr>
          <w:rFonts w:ascii="Calibri" w:hAnsi="Calibri" w:cs="Calibri"/>
        </w:rPr>
        <w:t xml:space="preserve">Framework aims to: </w:t>
      </w:r>
    </w:p>
    <w:p w14:paraId="0F8C05A5" w14:textId="77777777" w:rsidR="00C1039F" w:rsidRPr="00616282" w:rsidRDefault="00C1039F" w:rsidP="000803B0">
      <w:pPr>
        <w:pStyle w:val="ListParagraph"/>
        <w:ind w:left="1080"/>
        <w:rPr>
          <w:rFonts w:ascii="Calibri" w:hAnsi="Calibri" w:cs="Calibri"/>
          <w:lang w:val="en-GB"/>
        </w:rPr>
      </w:pPr>
    </w:p>
    <w:p w14:paraId="61692ED9" w14:textId="6F872054" w:rsidR="00C1039F" w:rsidRPr="00616282" w:rsidRDefault="00C1039F" w:rsidP="0090701E">
      <w:pPr>
        <w:pStyle w:val="ListParagraph"/>
        <w:numPr>
          <w:ilvl w:val="0"/>
          <w:numId w:val="4"/>
        </w:numPr>
        <w:jc w:val="both"/>
        <w:rPr>
          <w:rFonts w:ascii="Calibri" w:hAnsi="Calibri" w:cs="Calibri"/>
          <w:lang w:val="en-GB"/>
        </w:rPr>
      </w:pPr>
      <w:r w:rsidRPr="00616282">
        <w:rPr>
          <w:rFonts w:ascii="Calibri" w:hAnsi="Calibri" w:cs="Calibri"/>
        </w:rPr>
        <w:t xml:space="preserve">Ensure </w:t>
      </w:r>
      <w:r w:rsidRPr="00616282">
        <w:rPr>
          <w:rFonts w:ascii="Calibri" w:hAnsi="Calibri" w:cs="Calibri"/>
          <w:b/>
          <w:bCs/>
        </w:rPr>
        <w:t>market transparency</w:t>
      </w:r>
      <w:r w:rsidRPr="00616282">
        <w:rPr>
          <w:rFonts w:ascii="Calibri" w:hAnsi="Calibri" w:cs="Calibri"/>
        </w:rPr>
        <w:t xml:space="preserve"> and improve </w:t>
      </w:r>
      <w:r w:rsidRPr="00616282">
        <w:rPr>
          <w:rFonts w:ascii="Calibri" w:hAnsi="Calibri" w:cs="Calibri"/>
          <w:b/>
          <w:bCs/>
        </w:rPr>
        <w:t>market discipline</w:t>
      </w:r>
      <w:r w:rsidRPr="00616282">
        <w:rPr>
          <w:rFonts w:ascii="Calibri" w:hAnsi="Calibri" w:cs="Calibri"/>
        </w:rPr>
        <w:t xml:space="preserve"> </w:t>
      </w:r>
      <w:r w:rsidR="002666C8" w:rsidRPr="00616282">
        <w:rPr>
          <w:rFonts w:ascii="Calibri" w:hAnsi="Calibri" w:cs="Calibri"/>
        </w:rPr>
        <w:t>in</w:t>
      </w:r>
      <w:r w:rsidRPr="00616282">
        <w:rPr>
          <w:rFonts w:ascii="Calibri" w:hAnsi="Calibri" w:cs="Calibri"/>
        </w:rPr>
        <w:t xml:space="preserve"> </w:t>
      </w:r>
      <w:r w:rsidR="0008057D">
        <w:rPr>
          <w:rFonts w:ascii="Calibri" w:hAnsi="Calibri" w:cs="Calibri"/>
        </w:rPr>
        <w:t>climate-related</w:t>
      </w:r>
      <w:r w:rsidRPr="00616282">
        <w:rPr>
          <w:rFonts w:ascii="Calibri" w:hAnsi="Calibri" w:cs="Calibri"/>
        </w:rPr>
        <w:t xml:space="preserve"> risk assessment</w:t>
      </w:r>
    </w:p>
    <w:p w14:paraId="139CAC2E" w14:textId="0A91EBF0" w:rsidR="00296C7C" w:rsidRPr="00616282" w:rsidRDefault="000D6049" w:rsidP="0090701E">
      <w:pPr>
        <w:pStyle w:val="ListParagraph"/>
        <w:numPr>
          <w:ilvl w:val="0"/>
          <w:numId w:val="4"/>
        </w:numPr>
        <w:jc w:val="both"/>
        <w:rPr>
          <w:rFonts w:ascii="Calibri" w:hAnsi="Calibri" w:cs="Calibri"/>
          <w:lang w:val="en-GB"/>
        </w:rPr>
      </w:pPr>
      <w:r w:rsidRPr="00616282">
        <w:rPr>
          <w:rFonts w:ascii="Calibri" w:hAnsi="Calibri" w:cs="Calibri"/>
          <w:b/>
          <w:bCs/>
          <w:lang w:val="en-GB"/>
        </w:rPr>
        <w:t>Strengthen</w:t>
      </w:r>
      <w:r w:rsidR="00296C7C" w:rsidRPr="00616282">
        <w:rPr>
          <w:rFonts w:ascii="Calibri" w:hAnsi="Calibri" w:cs="Calibri"/>
          <w:b/>
          <w:bCs/>
          <w:lang w:val="en-GB"/>
        </w:rPr>
        <w:t xml:space="preserve"> capacities</w:t>
      </w:r>
      <w:r w:rsidR="00296C7C" w:rsidRPr="00616282">
        <w:rPr>
          <w:rFonts w:ascii="Calibri" w:hAnsi="Calibri" w:cs="Calibri"/>
          <w:lang w:val="en-GB"/>
        </w:rPr>
        <w:t xml:space="preserve"> of </w:t>
      </w:r>
      <w:r w:rsidRPr="00616282">
        <w:rPr>
          <w:rFonts w:ascii="Calibri" w:hAnsi="Calibri" w:cs="Calibri"/>
          <w:lang w:val="en-GB"/>
        </w:rPr>
        <w:t>the banking sector</w:t>
      </w:r>
      <w:r w:rsidR="00296C7C" w:rsidRPr="00616282">
        <w:rPr>
          <w:rFonts w:ascii="Calibri" w:hAnsi="Calibri" w:cs="Calibri"/>
          <w:lang w:val="en-GB"/>
        </w:rPr>
        <w:t xml:space="preserve"> to </w:t>
      </w:r>
      <w:r w:rsidR="00296C7C" w:rsidRPr="00616282">
        <w:rPr>
          <w:rFonts w:ascii="Calibri" w:hAnsi="Calibri" w:cs="Calibri"/>
          <w:b/>
          <w:bCs/>
          <w:lang w:val="en-GB"/>
        </w:rPr>
        <w:t>identify</w:t>
      </w:r>
      <w:r w:rsidR="00296C7C" w:rsidRPr="00616282">
        <w:rPr>
          <w:rFonts w:ascii="Calibri" w:hAnsi="Calibri" w:cs="Calibri"/>
          <w:lang w:val="en-GB"/>
        </w:rPr>
        <w:t xml:space="preserve">, </w:t>
      </w:r>
      <w:r w:rsidR="00296C7C" w:rsidRPr="00616282">
        <w:rPr>
          <w:rFonts w:ascii="Calibri" w:hAnsi="Calibri" w:cs="Calibri"/>
          <w:b/>
          <w:bCs/>
          <w:lang w:val="en-GB"/>
        </w:rPr>
        <w:t>assess</w:t>
      </w:r>
      <w:r w:rsidR="00296C7C" w:rsidRPr="00616282">
        <w:rPr>
          <w:rFonts w:ascii="Calibri" w:hAnsi="Calibri" w:cs="Calibri"/>
          <w:lang w:val="en-GB"/>
        </w:rPr>
        <w:t xml:space="preserve"> and </w:t>
      </w:r>
      <w:r w:rsidR="00296C7C" w:rsidRPr="00616282">
        <w:rPr>
          <w:rFonts w:ascii="Calibri" w:hAnsi="Calibri" w:cs="Calibri"/>
          <w:b/>
          <w:bCs/>
          <w:lang w:val="en-GB"/>
        </w:rPr>
        <w:t>m</w:t>
      </w:r>
      <w:r w:rsidR="00C1039F" w:rsidRPr="00616282">
        <w:rPr>
          <w:rFonts w:ascii="Calibri" w:hAnsi="Calibri" w:cs="Calibri"/>
          <w:b/>
          <w:bCs/>
          <w:lang w:val="en-GB"/>
        </w:rPr>
        <w:t>a</w:t>
      </w:r>
      <w:r w:rsidR="00296C7C" w:rsidRPr="00616282">
        <w:rPr>
          <w:rFonts w:ascii="Calibri" w:hAnsi="Calibri" w:cs="Calibri"/>
          <w:b/>
          <w:bCs/>
          <w:lang w:val="en-GB"/>
        </w:rPr>
        <w:t>nage</w:t>
      </w:r>
      <w:r w:rsidR="00296C7C" w:rsidRPr="00616282">
        <w:rPr>
          <w:rFonts w:ascii="Calibri" w:hAnsi="Calibri" w:cs="Calibri"/>
          <w:lang w:val="en-GB"/>
        </w:rPr>
        <w:t xml:space="preserve"> climate-related risks in decision-making and </w:t>
      </w:r>
      <w:r w:rsidR="00296C7C" w:rsidRPr="00616282">
        <w:rPr>
          <w:rFonts w:ascii="Calibri" w:hAnsi="Calibri" w:cs="Calibri"/>
          <w:b/>
          <w:bCs/>
          <w:lang w:val="en-GB"/>
        </w:rPr>
        <w:t>enhance resilience</w:t>
      </w:r>
      <w:r w:rsidR="00296C7C" w:rsidRPr="00616282">
        <w:rPr>
          <w:rFonts w:ascii="Calibri" w:hAnsi="Calibri" w:cs="Calibri"/>
          <w:lang w:val="en-GB"/>
        </w:rPr>
        <w:t xml:space="preserve"> of business models.</w:t>
      </w:r>
    </w:p>
    <w:p w14:paraId="1AC4B290" w14:textId="20C3D3AF" w:rsidR="00047596" w:rsidRPr="00616282" w:rsidRDefault="00047596" w:rsidP="0090701E">
      <w:pPr>
        <w:pStyle w:val="ListParagraph"/>
        <w:numPr>
          <w:ilvl w:val="0"/>
          <w:numId w:val="4"/>
        </w:numPr>
        <w:jc w:val="both"/>
        <w:rPr>
          <w:rFonts w:ascii="Calibri" w:hAnsi="Calibri" w:cs="Calibri"/>
          <w:lang w:val="en-GB"/>
        </w:rPr>
      </w:pPr>
      <w:r w:rsidRPr="00616282">
        <w:rPr>
          <w:rFonts w:ascii="Calibri" w:hAnsi="Calibri" w:cs="Calibri"/>
          <w:b/>
          <w:bCs/>
          <w:lang w:val="en-GB"/>
        </w:rPr>
        <w:t>Raise awareness</w:t>
      </w:r>
      <w:r w:rsidRPr="00616282">
        <w:rPr>
          <w:rFonts w:ascii="Calibri" w:hAnsi="Calibri" w:cs="Calibri"/>
          <w:lang w:val="en-GB"/>
        </w:rPr>
        <w:t xml:space="preserve"> of the financial risks associated with climate change in the banking sector.</w:t>
      </w:r>
    </w:p>
    <w:p w14:paraId="374CD874" w14:textId="416760AE" w:rsidR="00AA3104" w:rsidRPr="00616282" w:rsidRDefault="00296C7C" w:rsidP="0090701E">
      <w:pPr>
        <w:pStyle w:val="ListParagraph"/>
        <w:numPr>
          <w:ilvl w:val="0"/>
          <w:numId w:val="4"/>
        </w:numPr>
        <w:jc w:val="both"/>
        <w:rPr>
          <w:rFonts w:ascii="Calibri" w:hAnsi="Calibri" w:cs="Calibri"/>
          <w:lang w:val="en-GB"/>
        </w:rPr>
      </w:pPr>
      <w:r w:rsidRPr="00616282">
        <w:rPr>
          <w:rFonts w:ascii="Calibri" w:hAnsi="Calibri" w:cs="Calibri"/>
          <w:lang w:val="en-GB"/>
        </w:rPr>
        <w:t>E</w:t>
      </w:r>
      <w:r w:rsidR="00047596" w:rsidRPr="00616282">
        <w:rPr>
          <w:rFonts w:ascii="Calibri" w:hAnsi="Calibri" w:cs="Calibri"/>
          <w:lang w:val="en-GB"/>
        </w:rPr>
        <w:t>nhance the disclosure of climate-related financial risks in the banking sector</w:t>
      </w:r>
      <w:r w:rsidRPr="00616282">
        <w:rPr>
          <w:rFonts w:ascii="Calibri" w:hAnsi="Calibri" w:cs="Calibri"/>
          <w:lang w:val="en-GB"/>
        </w:rPr>
        <w:t xml:space="preserve"> through templates and guideline</w:t>
      </w:r>
      <w:r w:rsidR="00462246" w:rsidRPr="00616282">
        <w:rPr>
          <w:rFonts w:ascii="Calibri" w:hAnsi="Calibri" w:cs="Calibri"/>
          <w:lang w:val="en-GB"/>
        </w:rPr>
        <w:t>s</w:t>
      </w:r>
      <w:r w:rsidR="00CC3D17">
        <w:rPr>
          <w:rFonts w:ascii="Calibri" w:hAnsi="Calibri" w:cs="Calibri"/>
          <w:lang w:val="en-GB"/>
        </w:rPr>
        <w:t>,</w:t>
      </w:r>
      <w:r w:rsidR="00462246" w:rsidRPr="00616282">
        <w:rPr>
          <w:rFonts w:ascii="Calibri" w:hAnsi="Calibri" w:cs="Calibri"/>
          <w:lang w:val="en-GB"/>
        </w:rPr>
        <w:t xml:space="preserve"> thereby </w:t>
      </w:r>
      <w:r w:rsidR="00462246" w:rsidRPr="00616282">
        <w:rPr>
          <w:rFonts w:ascii="Calibri" w:hAnsi="Calibri" w:cs="Calibri"/>
          <w:b/>
          <w:bCs/>
          <w:lang w:val="en-GB"/>
        </w:rPr>
        <w:t>improving comparative analysis</w:t>
      </w:r>
      <w:r w:rsidR="00462246" w:rsidRPr="00616282">
        <w:rPr>
          <w:rFonts w:ascii="Calibri" w:hAnsi="Calibri" w:cs="Calibri"/>
          <w:lang w:val="en-GB"/>
        </w:rPr>
        <w:t xml:space="preserve"> and </w:t>
      </w:r>
      <w:r w:rsidR="00462246" w:rsidRPr="00616282">
        <w:rPr>
          <w:rFonts w:ascii="Calibri" w:hAnsi="Calibri" w:cs="Calibri"/>
          <w:b/>
          <w:bCs/>
          <w:lang w:val="en-GB"/>
        </w:rPr>
        <w:t>benchmarking</w:t>
      </w:r>
    </w:p>
    <w:p w14:paraId="00FD160E" w14:textId="33C57341" w:rsidR="00AA3104" w:rsidRPr="00616282" w:rsidRDefault="000D6049" w:rsidP="0090701E">
      <w:pPr>
        <w:pStyle w:val="ListParagraph"/>
        <w:numPr>
          <w:ilvl w:val="0"/>
          <w:numId w:val="4"/>
        </w:numPr>
        <w:jc w:val="both"/>
        <w:rPr>
          <w:rFonts w:ascii="Calibri" w:hAnsi="Calibri" w:cs="Calibri"/>
          <w:lang w:val="en-GB"/>
        </w:rPr>
      </w:pPr>
      <w:r w:rsidRPr="00616282">
        <w:rPr>
          <w:rFonts w:ascii="Calibri" w:hAnsi="Calibri" w:cs="Calibri"/>
          <w:b/>
          <w:bCs/>
          <w:lang w:val="en-GB"/>
        </w:rPr>
        <w:t>Illustrate b</w:t>
      </w:r>
      <w:r w:rsidR="00532F70" w:rsidRPr="00616282">
        <w:rPr>
          <w:rFonts w:ascii="Calibri" w:hAnsi="Calibri" w:cs="Calibri"/>
          <w:b/>
          <w:bCs/>
          <w:lang w:val="en-GB"/>
        </w:rPr>
        <w:t>est practice</w:t>
      </w:r>
      <w:r w:rsidR="00CC3D17">
        <w:rPr>
          <w:rFonts w:ascii="Calibri" w:hAnsi="Calibri" w:cs="Calibri"/>
          <w:b/>
          <w:bCs/>
          <w:lang w:val="en-GB"/>
        </w:rPr>
        <w:t>s</w:t>
      </w:r>
      <w:r w:rsidR="00532F70" w:rsidRPr="00616282">
        <w:rPr>
          <w:rFonts w:ascii="Calibri" w:hAnsi="Calibri" w:cs="Calibri"/>
          <w:lang w:val="en-GB"/>
        </w:rPr>
        <w:t xml:space="preserve"> on cl</w:t>
      </w:r>
      <w:r w:rsidR="00066B35" w:rsidRPr="00616282">
        <w:rPr>
          <w:rFonts w:ascii="Calibri" w:hAnsi="Calibri" w:cs="Calibri"/>
          <w:lang w:val="en-GB"/>
        </w:rPr>
        <w:t>i</w:t>
      </w:r>
      <w:r w:rsidR="00532F70" w:rsidRPr="00616282">
        <w:rPr>
          <w:rFonts w:ascii="Calibri" w:hAnsi="Calibri" w:cs="Calibri"/>
          <w:lang w:val="en-GB"/>
        </w:rPr>
        <w:t>mate risk practices by financial institutions globally and regionally</w:t>
      </w:r>
      <w:r w:rsidR="00CC3D17">
        <w:rPr>
          <w:rFonts w:ascii="Calibri" w:hAnsi="Calibri" w:cs="Calibri"/>
          <w:lang w:val="en-GB"/>
        </w:rPr>
        <w:t>, which</w:t>
      </w:r>
      <w:r w:rsidR="00532F70" w:rsidRPr="00616282">
        <w:rPr>
          <w:rFonts w:ascii="Calibri" w:hAnsi="Calibri" w:cs="Calibri"/>
          <w:lang w:val="en-GB"/>
        </w:rPr>
        <w:t xml:space="preserve"> are included as illustrative examples in the Framework. </w:t>
      </w:r>
    </w:p>
    <w:p w14:paraId="590A6821" w14:textId="30DDEA00" w:rsidR="00066B35" w:rsidRPr="00616282" w:rsidRDefault="00066B35" w:rsidP="0090701E">
      <w:pPr>
        <w:pStyle w:val="ListParagraph"/>
        <w:numPr>
          <w:ilvl w:val="0"/>
          <w:numId w:val="4"/>
        </w:numPr>
        <w:jc w:val="both"/>
        <w:rPr>
          <w:rFonts w:ascii="Calibri" w:hAnsi="Calibri" w:cs="Calibri"/>
          <w:lang w:val="en-GB"/>
        </w:rPr>
      </w:pPr>
      <w:r w:rsidRPr="00616282">
        <w:rPr>
          <w:rFonts w:ascii="Calibri" w:hAnsi="Calibri" w:cs="Calibri"/>
          <w:lang w:val="en-GB"/>
        </w:rPr>
        <w:t xml:space="preserve">Facilitate </w:t>
      </w:r>
      <w:r w:rsidRPr="00616282">
        <w:rPr>
          <w:rFonts w:ascii="Calibri" w:hAnsi="Calibri" w:cs="Calibri"/>
          <w:b/>
          <w:bCs/>
          <w:lang w:val="en-GB"/>
        </w:rPr>
        <w:t>supervisory</w:t>
      </w:r>
      <w:r w:rsidR="008C3DE0" w:rsidRPr="00616282">
        <w:rPr>
          <w:rFonts w:ascii="Calibri" w:hAnsi="Calibri" w:cs="Calibri"/>
          <w:b/>
          <w:bCs/>
          <w:lang w:val="en-GB"/>
        </w:rPr>
        <w:t>-</w:t>
      </w:r>
      <w:r w:rsidRPr="00616282">
        <w:rPr>
          <w:rFonts w:ascii="Calibri" w:hAnsi="Calibri" w:cs="Calibri"/>
          <w:b/>
          <w:bCs/>
          <w:lang w:val="en-GB"/>
        </w:rPr>
        <w:t>related analysis</w:t>
      </w:r>
      <w:r w:rsidRPr="00616282">
        <w:rPr>
          <w:rFonts w:ascii="Calibri" w:hAnsi="Calibri" w:cs="Calibri"/>
          <w:lang w:val="en-GB"/>
        </w:rPr>
        <w:t xml:space="preserve"> of the banking sector</w:t>
      </w:r>
      <w:r w:rsidR="008C3DE0" w:rsidRPr="00616282">
        <w:rPr>
          <w:rFonts w:ascii="Calibri" w:hAnsi="Calibri" w:cs="Calibri"/>
          <w:lang w:val="en-GB"/>
        </w:rPr>
        <w:t xml:space="preserve"> across the three Pillars</w:t>
      </w:r>
      <w:r w:rsidR="00462246" w:rsidRPr="00616282">
        <w:rPr>
          <w:rFonts w:ascii="Calibri" w:hAnsi="Calibri" w:cs="Calibri"/>
          <w:lang w:val="en-GB"/>
        </w:rPr>
        <w:t xml:space="preserve"> of the Basel Framework.</w:t>
      </w:r>
    </w:p>
    <w:p w14:paraId="097C9EC2" w14:textId="77777777" w:rsidR="00D17F75" w:rsidRPr="00616282" w:rsidRDefault="00D17F75" w:rsidP="00616282">
      <w:pPr>
        <w:rPr>
          <w:rFonts w:ascii="Calibri" w:hAnsi="Calibri" w:cs="Calibri"/>
          <w:lang w:val="en-GB"/>
        </w:rPr>
      </w:pPr>
    </w:p>
    <w:p w14:paraId="548B77D8" w14:textId="4C03828B" w:rsidR="00192D15" w:rsidRPr="00616282" w:rsidRDefault="00192D15" w:rsidP="0046333A">
      <w:pPr>
        <w:rPr>
          <w:rFonts w:ascii="Calibri" w:hAnsi="Calibri" w:cs="Calibri"/>
          <w:lang w:val="en-GB"/>
        </w:rPr>
      </w:pPr>
      <w:r w:rsidRPr="00616282">
        <w:rPr>
          <w:rFonts w:ascii="Calibri" w:hAnsi="Calibri" w:cs="Calibri"/>
          <w:lang w:val="en-GB"/>
        </w:rPr>
        <w:t xml:space="preserve">The Framework </w:t>
      </w:r>
      <w:r w:rsidR="00637F58" w:rsidRPr="00616282">
        <w:rPr>
          <w:rFonts w:ascii="Calibri" w:hAnsi="Calibri" w:cs="Calibri"/>
          <w:lang w:val="en-GB"/>
        </w:rPr>
        <w:t>is underpinned by the following principles</w:t>
      </w:r>
      <w:r w:rsidR="004638BB" w:rsidRPr="00616282">
        <w:rPr>
          <w:rFonts w:ascii="Calibri" w:hAnsi="Calibri" w:cs="Calibri"/>
          <w:lang w:val="en-GB"/>
        </w:rPr>
        <w:t>:</w:t>
      </w:r>
    </w:p>
    <w:p w14:paraId="7654DE81" w14:textId="77777777" w:rsidR="00637F58" w:rsidRPr="00616282" w:rsidRDefault="00637F58" w:rsidP="00192D15">
      <w:pPr>
        <w:rPr>
          <w:rFonts w:ascii="Calibri" w:hAnsi="Calibri" w:cs="Calibri"/>
          <w:lang w:val="en-GB"/>
        </w:rPr>
      </w:pPr>
    </w:p>
    <w:p w14:paraId="60A53498" w14:textId="4153AE42" w:rsidR="00443015" w:rsidRPr="00616282" w:rsidRDefault="00667A1A" w:rsidP="000B1781">
      <w:pPr>
        <w:pStyle w:val="ListParagraph"/>
        <w:numPr>
          <w:ilvl w:val="0"/>
          <w:numId w:val="39"/>
        </w:numPr>
        <w:jc w:val="both"/>
        <w:rPr>
          <w:rFonts w:ascii="Calibri" w:hAnsi="Calibri" w:cs="Calibri"/>
          <w:b/>
          <w:lang w:val="en-GB"/>
        </w:rPr>
      </w:pPr>
      <w:r w:rsidRPr="00616282">
        <w:rPr>
          <w:rFonts w:ascii="Calibri" w:hAnsi="Calibri" w:cs="Calibri"/>
          <w:b/>
          <w:lang w:val="en-GB"/>
        </w:rPr>
        <w:t xml:space="preserve">Decision-useful: </w:t>
      </w:r>
      <w:r w:rsidR="00DC427C" w:rsidRPr="00616282">
        <w:rPr>
          <w:rFonts w:ascii="Calibri" w:hAnsi="Calibri" w:cs="Calibri"/>
          <w:bCs/>
          <w:lang w:val="en-GB"/>
        </w:rPr>
        <w:t>Decision-useful climate information specifically pertains to climate-related issues. It encompasses data related to a company’s exposure to climate risks, its strategies for managing those risks, and its performance in achieving climate-related goals.</w:t>
      </w:r>
    </w:p>
    <w:p w14:paraId="1BC39698" w14:textId="77777777" w:rsidR="00443015" w:rsidRPr="00616282" w:rsidRDefault="00443015" w:rsidP="00443015">
      <w:pPr>
        <w:rPr>
          <w:rFonts w:ascii="Calibri" w:hAnsi="Calibri" w:cs="Calibri"/>
          <w:b/>
          <w:lang w:val="en-GB"/>
        </w:rPr>
      </w:pPr>
    </w:p>
    <w:p w14:paraId="2BFBF534" w14:textId="2EDFC15D" w:rsidR="00047596" w:rsidRPr="00616282" w:rsidRDefault="00637F58" w:rsidP="00616282">
      <w:pPr>
        <w:pStyle w:val="ListParagraph"/>
        <w:numPr>
          <w:ilvl w:val="0"/>
          <w:numId w:val="39"/>
        </w:numPr>
        <w:jc w:val="both"/>
        <w:rPr>
          <w:rFonts w:ascii="Calibri" w:hAnsi="Calibri" w:cs="Calibri"/>
          <w:lang w:val="en-GB"/>
        </w:rPr>
      </w:pPr>
      <w:r w:rsidRPr="00616282">
        <w:rPr>
          <w:rFonts w:ascii="Calibri" w:hAnsi="Calibri" w:cs="Calibri"/>
          <w:b/>
          <w:lang w:val="en-GB"/>
        </w:rPr>
        <w:t>Proportionality:</w:t>
      </w:r>
      <w:r w:rsidRPr="00616282">
        <w:rPr>
          <w:rFonts w:ascii="Calibri" w:hAnsi="Calibri" w:cs="Calibri"/>
          <w:lang w:val="en-GB"/>
        </w:rPr>
        <w:t xml:space="preserve"> </w:t>
      </w:r>
      <w:r w:rsidR="00CC3D17">
        <w:rPr>
          <w:rFonts w:ascii="Calibri" w:hAnsi="Calibri" w:cs="Calibri"/>
          <w:lang w:val="en-GB"/>
        </w:rPr>
        <w:t xml:space="preserve">Proportionality </w:t>
      </w:r>
      <w:r w:rsidR="00D15DEC" w:rsidRPr="00616282">
        <w:rPr>
          <w:rFonts w:ascii="Calibri" w:hAnsi="Calibri" w:cs="Calibri"/>
          <w:lang w:val="en-GB"/>
        </w:rPr>
        <w:t xml:space="preserve">should be considered more holistically and not only </w:t>
      </w:r>
      <w:r w:rsidR="002666C8" w:rsidRPr="00616282">
        <w:rPr>
          <w:rFonts w:ascii="Calibri" w:hAnsi="Calibri" w:cs="Calibri"/>
          <w:lang w:val="en-GB"/>
        </w:rPr>
        <w:t>regarding</w:t>
      </w:r>
      <w:r w:rsidR="00D15DEC" w:rsidRPr="00616282">
        <w:rPr>
          <w:rFonts w:ascii="Calibri" w:hAnsi="Calibri" w:cs="Calibri"/>
          <w:lang w:val="en-GB"/>
        </w:rPr>
        <w:t xml:space="preserve"> the size of the institution. Proportionality </w:t>
      </w:r>
      <w:r w:rsidR="00DE5A64" w:rsidRPr="00616282">
        <w:rPr>
          <w:rFonts w:ascii="Calibri" w:hAnsi="Calibri" w:cs="Calibri"/>
          <w:lang w:val="en-GB"/>
        </w:rPr>
        <w:t>shall be</w:t>
      </w:r>
      <w:r w:rsidR="00D15DEC" w:rsidRPr="00616282">
        <w:rPr>
          <w:rFonts w:ascii="Calibri" w:hAnsi="Calibri" w:cs="Calibri"/>
          <w:lang w:val="en-GB"/>
        </w:rPr>
        <w:t xml:space="preserve"> linked to the business model and risk profile of a bank</w:t>
      </w:r>
      <w:r w:rsidR="00CC3D17">
        <w:rPr>
          <w:rFonts w:ascii="Calibri" w:hAnsi="Calibri" w:cs="Calibri"/>
          <w:lang w:val="en-GB"/>
        </w:rPr>
        <w:t>,</w:t>
      </w:r>
      <w:r w:rsidR="00D15DEC" w:rsidRPr="00616282">
        <w:rPr>
          <w:rFonts w:ascii="Calibri" w:hAnsi="Calibri" w:cs="Calibri"/>
          <w:lang w:val="en-GB"/>
        </w:rPr>
        <w:t xml:space="preserve"> as well as to cost benefits and scope considerations</w:t>
      </w:r>
      <w:r w:rsidR="00B43C51" w:rsidRPr="00616282">
        <w:rPr>
          <w:rFonts w:ascii="Calibri" w:hAnsi="Calibri" w:cs="Calibri"/>
          <w:lang w:val="en-GB"/>
        </w:rPr>
        <w:t xml:space="preserve">. This is also in line with IFRS guidance in confirming the consideration of an entity’s skills, </w:t>
      </w:r>
      <w:r w:rsidR="00047596" w:rsidRPr="00616282">
        <w:rPr>
          <w:rFonts w:ascii="Calibri" w:hAnsi="Calibri" w:cs="Calibri"/>
          <w:lang w:val="en-GB"/>
        </w:rPr>
        <w:t>capabilities, and resources.</w:t>
      </w:r>
    </w:p>
    <w:p w14:paraId="11FD9869" w14:textId="77777777" w:rsidR="00047596" w:rsidRPr="00616282" w:rsidRDefault="00047596">
      <w:pPr>
        <w:rPr>
          <w:rFonts w:ascii="Calibri" w:hAnsi="Calibri" w:cs="Calibri"/>
          <w:lang w:val="en-GB"/>
        </w:rPr>
      </w:pPr>
    </w:p>
    <w:p w14:paraId="2FF95DD6" w14:textId="0982BD46" w:rsidR="00670FDA" w:rsidRPr="00616282" w:rsidRDefault="00670FDA" w:rsidP="000B1781">
      <w:pPr>
        <w:pStyle w:val="ListParagraph"/>
        <w:numPr>
          <w:ilvl w:val="0"/>
          <w:numId w:val="39"/>
        </w:numPr>
        <w:jc w:val="both"/>
        <w:rPr>
          <w:rFonts w:ascii="Calibri" w:hAnsi="Calibri" w:cs="Calibri"/>
          <w:lang w:val="en-GB"/>
        </w:rPr>
      </w:pPr>
      <w:r w:rsidRPr="00616282">
        <w:rPr>
          <w:rFonts w:ascii="Calibri" w:hAnsi="Calibri" w:cs="Calibri"/>
          <w:b/>
          <w:lang w:val="en-GB"/>
        </w:rPr>
        <w:t>Materiality:</w:t>
      </w:r>
      <w:r w:rsidR="009E7801" w:rsidRPr="00616282">
        <w:rPr>
          <w:rFonts w:ascii="Calibri" w:hAnsi="Calibri" w:cs="Calibri"/>
          <w:b/>
          <w:lang w:val="en-GB"/>
        </w:rPr>
        <w:t xml:space="preserve"> </w:t>
      </w:r>
      <w:r w:rsidR="009E7801" w:rsidRPr="00616282">
        <w:rPr>
          <w:rFonts w:ascii="Calibri" w:hAnsi="Calibri" w:cs="Calibri"/>
          <w:lang w:val="en-GB"/>
        </w:rPr>
        <w:t>Per the IFRS, i</w:t>
      </w:r>
      <w:r w:rsidR="00783D02" w:rsidRPr="00616282">
        <w:rPr>
          <w:rFonts w:ascii="Calibri" w:hAnsi="Calibri" w:cs="Calibri"/>
          <w:lang w:val="en-GB"/>
        </w:rPr>
        <w:t xml:space="preserve">nformation is material if omitting, </w:t>
      </w:r>
      <w:r w:rsidR="00381067" w:rsidRPr="00616282">
        <w:rPr>
          <w:rFonts w:ascii="Calibri" w:hAnsi="Calibri" w:cs="Calibri"/>
          <w:lang w:val="en-GB"/>
        </w:rPr>
        <w:t>misstating</w:t>
      </w:r>
      <w:r w:rsidR="00CC3D17">
        <w:rPr>
          <w:rFonts w:ascii="Calibri" w:hAnsi="Calibri" w:cs="Calibri"/>
          <w:lang w:val="en-GB"/>
        </w:rPr>
        <w:t>,</w:t>
      </w:r>
      <w:r w:rsidR="00381067" w:rsidRPr="00616282">
        <w:rPr>
          <w:rFonts w:ascii="Calibri" w:hAnsi="Calibri" w:cs="Calibri"/>
          <w:lang w:val="en-GB"/>
        </w:rPr>
        <w:t xml:space="preserve"> or</w:t>
      </w:r>
      <w:r w:rsidR="00783D02" w:rsidRPr="00616282">
        <w:rPr>
          <w:rFonts w:ascii="Calibri" w:hAnsi="Calibri" w:cs="Calibri"/>
          <w:lang w:val="en-GB"/>
        </w:rPr>
        <w:t xml:space="preserve"> obscuring it could reasonably be expected to influence decisions that the primary users of </w:t>
      </w:r>
      <w:r w:rsidR="00B720D9" w:rsidRPr="00616282">
        <w:rPr>
          <w:rFonts w:ascii="Calibri" w:hAnsi="Calibri" w:cs="Calibri"/>
          <w:lang w:val="en-GB"/>
        </w:rPr>
        <w:t>general-purpose</w:t>
      </w:r>
      <w:r w:rsidR="00783D02" w:rsidRPr="00616282">
        <w:rPr>
          <w:rFonts w:ascii="Calibri" w:hAnsi="Calibri" w:cs="Calibri"/>
          <w:lang w:val="en-GB"/>
        </w:rPr>
        <w:t xml:space="preserve"> financial statements make </w:t>
      </w:r>
      <w:r w:rsidR="002666C8" w:rsidRPr="00616282">
        <w:rPr>
          <w:rFonts w:ascii="Calibri" w:hAnsi="Calibri" w:cs="Calibri"/>
          <w:lang w:val="en-GB"/>
        </w:rPr>
        <w:t>based on</w:t>
      </w:r>
      <w:r w:rsidR="00783D02" w:rsidRPr="00616282">
        <w:rPr>
          <w:rFonts w:ascii="Calibri" w:hAnsi="Calibri" w:cs="Calibri"/>
          <w:lang w:val="en-GB"/>
        </w:rPr>
        <w:t xml:space="preserve"> </w:t>
      </w:r>
      <w:r w:rsidR="00CC3D17">
        <w:rPr>
          <w:rFonts w:ascii="Calibri" w:hAnsi="Calibri" w:cs="Calibri"/>
          <w:lang w:val="en-GB"/>
        </w:rPr>
        <w:t>that</w:t>
      </w:r>
      <w:r w:rsidR="00CC3D17" w:rsidRPr="00616282">
        <w:rPr>
          <w:rFonts w:ascii="Calibri" w:hAnsi="Calibri" w:cs="Calibri"/>
          <w:lang w:val="en-GB"/>
        </w:rPr>
        <w:t xml:space="preserve"> </w:t>
      </w:r>
      <w:r w:rsidR="00783D02" w:rsidRPr="00616282">
        <w:rPr>
          <w:rFonts w:ascii="Calibri" w:hAnsi="Calibri" w:cs="Calibri"/>
          <w:lang w:val="en-GB"/>
        </w:rPr>
        <w:t xml:space="preserve">financial </w:t>
      </w:r>
      <w:r w:rsidR="00CC3D17">
        <w:rPr>
          <w:rFonts w:ascii="Calibri" w:hAnsi="Calibri" w:cs="Calibri"/>
          <w:lang w:val="en-GB"/>
        </w:rPr>
        <w:t>information</w:t>
      </w:r>
      <w:r w:rsidR="00783D02" w:rsidRPr="00616282">
        <w:rPr>
          <w:rFonts w:ascii="Calibri" w:hAnsi="Calibri" w:cs="Calibri"/>
          <w:lang w:val="en-GB"/>
        </w:rPr>
        <w:t>, which provide</w:t>
      </w:r>
      <w:r w:rsidR="00CC3D17">
        <w:rPr>
          <w:rFonts w:ascii="Calibri" w:hAnsi="Calibri" w:cs="Calibri"/>
          <w:lang w:val="en-GB"/>
        </w:rPr>
        <w:t>s</w:t>
      </w:r>
      <w:r w:rsidR="00783D02" w:rsidRPr="00616282">
        <w:rPr>
          <w:rFonts w:ascii="Calibri" w:hAnsi="Calibri" w:cs="Calibri"/>
          <w:lang w:val="en-GB"/>
        </w:rPr>
        <w:t xml:space="preserve"> </w:t>
      </w:r>
      <w:r w:rsidR="00CC3D17">
        <w:rPr>
          <w:rFonts w:ascii="Calibri" w:hAnsi="Calibri" w:cs="Calibri"/>
          <w:lang w:val="en-GB"/>
        </w:rPr>
        <w:t>details</w:t>
      </w:r>
      <w:r w:rsidR="00783D02" w:rsidRPr="00616282">
        <w:rPr>
          <w:rFonts w:ascii="Calibri" w:hAnsi="Calibri" w:cs="Calibri"/>
          <w:lang w:val="en-GB"/>
        </w:rPr>
        <w:t xml:space="preserve"> about a specific reporting entity.</w:t>
      </w:r>
      <w:r w:rsidR="00E93139" w:rsidRPr="00616282">
        <w:rPr>
          <w:rFonts w:ascii="Calibri" w:hAnsi="Calibri" w:cs="Calibri"/>
          <w:lang w:val="en-GB"/>
        </w:rPr>
        <w:t xml:space="preserve"> </w:t>
      </w:r>
      <w:r w:rsidR="00E344CD" w:rsidRPr="00616282">
        <w:rPr>
          <w:rFonts w:ascii="Calibri" w:hAnsi="Calibri" w:cs="Calibri"/>
          <w:lang w:val="en-GB"/>
        </w:rPr>
        <w:t xml:space="preserve">It shall be highlighted that </w:t>
      </w:r>
      <w:r w:rsidR="00E93139" w:rsidRPr="00616282">
        <w:rPr>
          <w:rFonts w:ascii="Calibri" w:hAnsi="Calibri" w:cs="Calibri"/>
          <w:lang w:val="en-GB"/>
        </w:rPr>
        <w:t>information about a climate-related risk or opportunity that has not yet affected the bank’s financial statements may still be considered material – e.g.</w:t>
      </w:r>
      <w:r w:rsidR="00CC3D17">
        <w:rPr>
          <w:rFonts w:ascii="Calibri" w:hAnsi="Calibri" w:cs="Calibri"/>
          <w:lang w:val="en-GB"/>
        </w:rPr>
        <w:t>,</w:t>
      </w:r>
      <w:r w:rsidR="00E93139" w:rsidRPr="00616282">
        <w:rPr>
          <w:rFonts w:ascii="Calibri" w:hAnsi="Calibri" w:cs="Calibri"/>
          <w:lang w:val="en-GB"/>
        </w:rPr>
        <w:t xml:space="preserve"> because it provides insight into the resilience of the bank’s business model</w:t>
      </w:r>
      <w:r w:rsidR="00CC3D17">
        <w:rPr>
          <w:rFonts w:ascii="Calibri" w:hAnsi="Calibri" w:cs="Calibri"/>
          <w:lang w:val="en-GB"/>
        </w:rPr>
        <w:t>. Additionally,</w:t>
      </w:r>
      <w:r w:rsidR="00E93139" w:rsidRPr="00616282">
        <w:rPr>
          <w:rFonts w:ascii="Calibri" w:hAnsi="Calibri" w:cs="Calibri"/>
          <w:lang w:val="en-GB"/>
        </w:rPr>
        <w:t xml:space="preserve"> information about the </w:t>
      </w:r>
      <w:r w:rsidR="00E344CD" w:rsidRPr="00616282">
        <w:rPr>
          <w:rFonts w:ascii="Calibri" w:hAnsi="Calibri" w:cs="Calibri"/>
          <w:lang w:val="en-GB"/>
        </w:rPr>
        <w:t>bank</w:t>
      </w:r>
      <w:r w:rsidR="00E93139" w:rsidRPr="00616282">
        <w:rPr>
          <w:rFonts w:ascii="Calibri" w:hAnsi="Calibri" w:cs="Calibri"/>
          <w:lang w:val="en-GB"/>
        </w:rPr>
        <w:t>’s exposure to future events (e.g.</w:t>
      </w:r>
      <w:r w:rsidR="00CC3D17">
        <w:rPr>
          <w:rFonts w:ascii="Calibri" w:hAnsi="Calibri" w:cs="Calibri"/>
          <w:lang w:val="en-GB"/>
        </w:rPr>
        <w:t>,</w:t>
      </w:r>
      <w:r w:rsidR="00E93139" w:rsidRPr="00616282">
        <w:rPr>
          <w:rFonts w:ascii="Calibri" w:hAnsi="Calibri" w:cs="Calibri"/>
          <w:lang w:val="en-GB"/>
        </w:rPr>
        <w:t xml:space="preserve"> possible regulatory changes) may be material, even though the potential outcome is uncertain.</w:t>
      </w:r>
    </w:p>
    <w:p w14:paraId="0A0778D0" w14:textId="77777777" w:rsidR="009A11F4" w:rsidRPr="00616282" w:rsidRDefault="009A11F4" w:rsidP="009A11F4">
      <w:pPr>
        <w:jc w:val="both"/>
        <w:rPr>
          <w:rFonts w:ascii="Calibri" w:hAnsi="Calibri" w:cs="Calibri"/>
          <w:lang w:val="en-GB"/>
        </w:rPr>
      </w:pPr>
    </w:p>
    <w:p w14:paraId="5C79A1A2" w14:textId="3E1ED607" w:rsidR="009A11F4" w:rsidRPr="00616282" w:rsidRDefault="009A11F4" w:rsidP="00DC427C">
      <w:pPr>
        <w:pStyle w:val="ListParagraph"/>
        <w:numPr>
          <w:ilvl w:val="0"/>
          <w:numId w:val="39"/>
        </w:numPr>
        <w:jc w:val="both"/>
        <w:rPr>
          <w:rFonts w:ascii="Calibri" w:hAnsi="Calibri" w:cs="Calibri"/>
          <w:lang w:val="en-GB"/>
        </w:rPr>
      </w:pPr>
      <w:r w:rsidRPr="00616282">
        <w:rPr>
          <w:rFonts w:ascii="Calibri" w:hAnsi="Calibri" w:cs="Calibri"/>
          <w:b/>
          <w:bCs/>
          <w:lang w:val="en-GB"/>
        </w:rPr>
        <w:t>Methodol</w:t>
      </w:r>
      <w:r w:rsidR="008410E2" w:rsidRPr="00616282">
        <w:rPr>
          <w:rFonts w:ascii="Calibri" w:hAnsi="Calibri" w:cs="Calibri"/>
          <w:b/>
          <w:bCs/>
          <w:lang w:val="en-GB"/>
        </w:rPr>
        <w:t>og</w:t>
      </w:r>
      <w:r w:rsidRPr="00616282">
        <w:rPr>
          <w:rFonts w:ascii="Calibri" w:hAnsi="Calibri" w:cs="Calibri"/>
          <w:b/>
          <w:bCs/>
          <w:lang w:val="en-GB"/>
        </w:rPr>
        <w:t>ical flexibility</w:t>
      </w:r>
      <w:r w:rsidRPr="00616282">
        <w:rPr>
          <w:rFonts w:ascii="Calibri" w:hAnsi="Calibri" w:cs="Calibri"/>
          <w:lang w:val="en-GB"/>
        </w:rPr>
        <w:t xml:space="preserve">: </w:t>
      </w:r>
      <w:r w:rsidR="00701119" w:rsidRPr="00616282">
        <w:rPr>
          <w:rFonts w:ascii="Calibri" w:hAnsi="Calibri" w:cs="Calibri"/>
          <w:lang w:val="en-GB"/>
        </w:rPr>
        <w:t>Noting the evolving</w:t>
      </w:r>
      <w:r w:rsidR="009E73D2">
        <w:rPr>
          <w:rFonts w:ascii="Calibri" w:hAnsi="Calibri" w:cs="Calibri"/>
          <w:lang w:val="en-GB"/>
        </w:rPr>
        <w:t xml:space="preserve"> nature of</w:t>
      </w:r>
      <w:r w:rsidR="00701119" w:rsidRPr="00616282">
        <w:rPr>
          <w:rFonts w:ascii="Calibri" w:hAnsi="Calibri" w:cs="Calibri"/>
          <w:lang w:val="en-GB"/>
        </w:rPr>
        <w:t xml:space="preserve"> </w:t>
      </w:r>
      <w:r w:rsidR="007E217F" w:rsidRPr="00616282">
        <w:rPr>
          <w:rFonts w:ascii="Calibri" w:hAnsi="Calibri" w:cs="Calibri"/>
          <w:lang w:val="en-GB"/>
        </w:rPr>
        <w:t xml:space="preserve">climate risk </w:t>
      </w:r>
      <w:r w:rsidR="004A73D9" w:rsidRPr="00616282">
        <w:rPr>
          <w:rFonts w:ascii="Calibri" w:hAnsi="Calibri" w:cs="Calibri"/>
          <w:lang w:val="en-GB"/>
        </w:rPr>
        <w:t>practice</w:t>
      </w:r>
      <w:r w:rsidR="00CC3D17">
        <w:rPr>
          <w:rFonts w:ascii="Calibri" w:hAnsi="Calibri" w:cs="Calibri"/>
          <w:lang w:val="en-GB"/>
        </w:rPr>
        <w:t>,</w:t>
      </w:r>
      <w:r w:rsidR="004A73D9" w:rsidRPr="00616282">
        <w:rPr>
          <w:rFonts w:ascii="Calibri" w:hAnsi="Calibri" w:cs="Calibri"/>
          <w:lang w:val="en-GB"/>
        </w:rPr>
        <w:t xml:space="preserve"> the Framework seeks to</w:t>
      </w:r>
      <w:r w:rsidRPr="00616282">
        <w:rPr>
          <w:rFonts w:ascii="Calibri" w:hAnsi="Calibri" w:cs="Calibri"/>
          <w:lang w:val="en-GB"/>
        </w:rPr>
        <w:t xml:space="preserve"> avoid disruption by </w:t>
      </w:r>
      <w:r w:rsidR="00036D7A" w:rsidRPr="00616282">
        <w:rPr>
          <w:rFonts w:ascii="Calibri" w:hAnsi="Calibri" w:cs="Calibri"/>
          <w:lang w:val="en-GB"/>
        </w:rPr>
        <w:t xml:space="preserve">prescribing </w:t>
      </w:r>
      <w:r w:rsidR="009E73D2">
        <w:rPr>
          <w:rFonts w:ascii="Calibri" w:hAnsi="Calibri" w:cs="Calibri"/>
          <w:lang w:val="en-GB"/>
        </w:rPr>
        <w:t xml:space="preserve">the </w:t>
      </w:r>
      <w:r w:rsidR="00036D7A" w:rsidRPr="00616282">
        <w:rPr>
          <w:rFonts w:ascii="Calibri" w:hAnsi="Calibri" w:cs="Calibri"/>
          <w:lang w:val="en-GB"/>
        </w:rPr>
        <w:t xml:space="preserve">use of </w:t>
      </w:r>
      <w:r w:rsidR="009E73D2">
        <w:rPr>
          <w:rFonts w:ascii="Calibri" w:hAnsi="Calibri" w:cs="Calibri"/>
          <w:lang w:val="en-GB"/>
        </w:rPr>
        <w:t xml:space="preserve">specific </w:t>
      </w:r>
      <w:r w:rsidR="00BC1610" w:rsidRPr="00616282">
        <w:rPr>
          <w:rFonts w:ascii="Calibri" w:hAnsi="Calibri" w:cs="Calibri"/>
          <w:lang w:val="en-GB"/>
        </w:rPr>
        <w:t>methodologies</w:t>
      </w:r>
      <w:r w:rsidR="009E73D2">
        <w:rPr>
          <w:rFonts w:ascii="Calibri" w:hAnsi="Calibri" w:cs="Calibri"/>
          <w:lang w:val="en-GB"/>
        </w:rPr>
        <w:t>.</w:t>
      </w:r>
      <w:r w:rsidR="00036D7A" w:rsidRPr="00616282">
        <w:rPr>
          <w:rFonts w:ascii="Calibri" w:hAnsi="Calibri" w:cs="Calibri"/>
          <w:lang w:val="en-GB"/>
        </w:rPr>
        <w:t xml:space="preserve"> </w:t>
      </w:r>
      <w:r w:rsidR="009E73D2">
        <w:rPr>
          <w:rFonts w:ascii="Calibri" w:hAnsi="Calibri" w:cs="Calibri"/>
          <w:lang w:val="en-GB"/>
        </w:rPr>
        <w:t>H</w:t>
      </w:r>
      <w:r w:rsidR="00036D7A" w:rsidRPr="00616282">
        <w:rPr>
          <w:rFonts w:ascii="Calibri" w:hAnsi="Calibri" w:cs="Calibri"/>
          <w:lang w:val="en-GB"/>
        </w:rPr>
        <w:t>owever</w:t>
      </w:r>
      <w:r w:rsidR="009E73D2">
        <w:rPr>
          <w:rFonts w:ascii="Calibri" w:hAnsi="Calibri" w:cs="Calibri"/>
          <w:lang w:val="en-GB"/>
        </w:rPr>
        <w:t>, it is</w:t>
      </w:r>
      <w:r w:rsidR="00036D7A" w:rsidRPr="00616282">
        <w:rPr>
          <w:rFonts w:ascii="Calibri" w:hAnsi="Calibri" w:cs="Calibri"/>
          <w:lang w:val="en-GB"/>
        </w:rPr>
        <w:t xml:space="preserve"> mindful that </w:t>
      </w:r>
      <w:r w:rsidR="009E73D2">
        <w:rPr>
          <w:rFonts w:ascii="Calibri" w:hAnsi="Calibri" w:cs="Calibri"/>
          <w:lang w:val="en-GB"/>
        </w:rPr>
        <w:t xml:space="preserve">allowing the banking sector to </w:t>
      </w:r>
      <w:r w:rsidR="00357E48" w:rsidRPr="00616282">
        <w:rPr>
          <w:rFonts w:ascii="Calibri" w:hAnsi="Calibri" w:cs="Calibri"/>
          <w:lang w:val="en-GB"/>
        </w:rPr>
        <w:t>pick and choos</w:t>
      </w:r>
      <w:r w:rsidR="009E73D2">
        <w:rPr>
          <w:rFonts w:ascii="Calibri" w:hAnsi="Calibri" w:cs="Calibri"/>
          <w:lang w:val="en-GB"/>
        </w:rPr>
        <w:t>e</w:t>
      </w:r>
      <w:r w:rsidR="00357E48" w:rsidRPr="00616282">
        <w:rPr>
          <w:rFonts w:ascii="Calibri" w:hAnsi="Calibri" w:cs="Calibri"/>
          <w:lang w:val="en-GB"/>
        </w:rPr>
        <w:t xml:space="preserve"> methods could give rise </w:t>
      </w:r>
      <w:r w:rsidRPr="00616282">
        <w:rPr>
          <w:rFonts w:ascii="Calibri" w:hAnsi="Calibri" w:cs="Calibri"/>
          <w:lang w:val="en-GB"/>
        </w:rPr>
        <w:t xml:space="preserve">greenwashing risk. </w:t>
      </w:r>
      <w:r w:rsidR="009E73D2">
        <w:rPr>
          <w:rFonts w:ascii="Calibri" w:hAnsi="Calibri" w:cs="Calibri"/>
          <w:lang w:val="en-GB"/>
        </w:rPr>
        <w:t>Therefore, t</w:t>
      </w:r>
      <w:r w:rsidRPr="00616282">
        <w:rPr>
          <w:rFonts w:ascii="Calibri" w:hAnsi="Calibri" w:cs="Calibri"/>
          <w:lang w:val="en-GB"/>
        </w:rPr>
        <w:t xml:space="preserve">his </w:t>
      </w:r>
      <w:r w:rsidR="009E73D2">
        <w:rPr>
          <w:rFonts w:ascii="Calibri" w:hAnsi="Calibri" w:cs="Calibri"/>
          <w:lang w:val="en-GB"/>
        </w:rPr>
        <w:t xml:space="preserve">methodological </w:t>
      </w:r>
      <w:r w:rsidRPr="00616282">
        <w:rPr>
          <w:rFonts w:ascii="Calibri" w:hAnsi="Calibri" w:cs="Calibri"/>
          <w:lang w:val="en-GB"/>
        </w:rPr>
        <w:t>flexibility</w:t>
      </w:r>
      <w:r w:rsidR="001A0DC2" w:rsidRPr="00616282">
        <w:rPr>
          <w:rFonts w:ascii="Calibri" w:hAnsi="Calibri" w:cs="Calibri"/>
          <w:lang w:val="en-GB"/>
        </w:rPr>
        <w:t xml:space="preserve"> shall mainly</w:t>
      </w:r>
      <w:r w:rsidRPr="00616282">
        <w:rPr>
          <w:rFonts w:ascii="Calibri" w:hAnsi="Calibri" w:cs="Calibri"/>
          <w:lang w:val="en-GB"/>
        </w:rPr>
        <w:t xml:space="preserve"> apply to the use of proxies </w:t>
      </w:r>
      <w:r w:rsidR="00BC1610" w:rsidRPr="00616282">
        <w:rPr>
          <w:rFonts w:ascii="Calibri" w:hAnsi="Calibri" w:cs="Calibri"/>
          <w:lang w:val="en-GB"/>
        </w:rPr>
        <w:t>where</w:t>
      </w:r>
      <w:r w:rsidRPr="00616282">
        <w:rPr>
          <w:rFonts w:ascii="Calibri" w:hAnsi="Calibri" w:cs="Calibri"/>
          <w:lang w:val="en-GB"/>
        </w:rPr>
        <w:t xml:space="preserve"> reliable data</w:t>
      </w:r>
      <w:r w:rsidR="005E2C91" w:rsidRPr="00616282">
        <w:rPr>
          <w:rFonts w:ascii="Calibri" w:hAnsi="Calibri" w:cs="Calibri"/>
          <w:lang w:val="en-GB"/>
        </w:rPr>
        <w:t xml:space="preserve"> is unavailable</w:t>
      </w:r>
      <w:r w:rsidRPr="00616282">
        <w:rPr>
          <w:rFonts w:ascii="Calibri" w:hAnsi="Calibri" w:cs="Calibri"/>
          <w:lang w:val="en-GB"/>
        </w:rPr>
        <w:t>.</w:t>
      </w:r>
      <w:r w:rsidR="0091436B" w:rsidRPr="00616282">
        <w:rPr>
          <w:rFonts w:ascii="Calibri" w:hAnsi="Calibri" w:cs="Calibri"/>
          <w:lang w:val="en-GB"/>
        </w:rPr>
        <w:t xml:space="preserve"> </w:t>
      </w:r>
      <w:r w:rsidR="005E2C91" w:rsidRPr="00616282">
        <w:rPr>
          <w:rFonts w:ascii="Calibri" w:hAnsi="Calibri" w:cs="Calibri"/>
          <w:lang w:val="en-GB"/>
        </w:rPr>
        <w:t>The Framework provides banks with</w:t>
      </w:r>
      <w:r w:rsidRPr="00616282">
        <w:rPr>
          <w:rFonts w:ascii="Calibri" w:hAnsi="Calibri" w:cs="Calibri"/>
          <w:lang w:val="en-GB"/>
        </w:rPr>
        <w:t xml:space="preserve"> </w:t>
      </w:r>
      <w:r w:rsidR="005E2C91" w:rsidRPr="00616282">
        <w:rPr>
          <w:rFonts w:ascii="Calibri" w:hAnsi="Calibri" w:cs="Calibri"/>
          <w:lang w:val="en-GB"/>
        </w:rPr>
        <w:t xml:space="preserve">some </w:t>
      </w:r>
      <w:r w:rsidRPr="00616282">
        <w:rPr>
          <w:rFonts w:ascii="Calibri" w:hAnsi="Calibri" w:cs="Calibri"/>
          <w:lang w:val="en-GB"/>
        </w:rPr>
        <w:t xml:space="preserve">leeway in defining their </w:t>
      </w:r>
      <w:r w:rsidR="00B7558A" w:rsidRPr="00B7558A">
        <w:rPr>
          <w:rFonts w:ascii="Calibri" w:hAnsi="Calibri" w:cs="Calibri"/>
          <w:lang w:val="en-GB"/>
        </w:rPr>
        <w:t xml:space="preserve">Environmental, Social, and Governance </w:t>
      </w:r>
      <w:r w:rsidR="00B7558A">
        <w:rPr>
          <w:rFonts w:ascii="Calibri" w:hAnsi="Calibri" w:cs="Calibri"/>
          <w:lang w:val="en-GB"/>
        </w:rPr>
        <w:t>(</w:t>
      </w:r>
      <w:r w:rsidRPr="00616282">
        <w:rPr>
          <w:rFonts w:ascii="Calibri" w:hAnsi="Calibri" w:cs="Calibri"/>
          <w:lang w:val="en-GB"/>
        </w:rPr>
        <w:t>ESG</w:t>
      </w:r>
      <w:r w:rsidR="00B7558A">
        <w:rPr>
          <w:rFonts w:ascii="Calibri" w:hAnsi="Calibri" w:cs="Calibri"/>
          <w:lang w:val="en-GB"/>
        </w:rPr>
        <w:t>)</w:t>
      </w:r>
      <w:r w:rsidRPr="00616282">
        <w:rPr>
          <w:rFonts w:ascii="Calibri" w:hAnsi="Calibri" w:cs="Calibri"/>
          <w:lang w:val="en-GB"/>
        </w:rPr>
        <w:t xml:space="preserve"> risk appetite, </w:t>
      </w:r>
      <w:r w:rsidR="009C4B32" w:rsidRPr="00616282">
        <w:rPr>
          <w:rFonts w:ascii="Calibri" w:hAnsi="Calibri" w:cs="Calibri"/>
          <w:lang w:val="en-GB"/>
        </w:rPr>
        <w:t>metrics,</w:t>
      </w:r>
      <w:r w:rsidRPr="00616282">
        <w:rPr>
          <w:rFonts w:ascii="Calibri" w:hAnsi="Calibri" w:cs="Calibri"/>
          <w:lang w:val="en-GB"/>
        </w:rPr>
        <w:t xml:space="preserve"> and targets. </w:t>
      </w:r>
      <w:r w:rsidR="00B65D00" w:rsidRPr="00616282">
        <w:rPr>
          <w:rFonts w:ascii="Calibri" w:hAnsi="Calibri" w:cs="Calibri"/>
          <w:lang w:val="en-GB"/>
        </w:rPr>
        <w:t>Similarly, banks are given</w:t>
      </w:r>
      <w:r w:rsidRPr="00616282">
        <w:rPr>
          <w:rFonts w:ascii="Calibri" w:hAnsi="Calibri" w:cs="Calibri"/>
          <w:lang w:val="en-GB"/>
        </w:rPr>
        <w:t xml:space="preserve"> flexibility to run their business model and strategy, including</w:t>
      </w:r>
      <w:r w:rsidR="009E73D2">
        <w:rPr>
          <w:rFonts w:ascii="Calibri" w:hAnsi="Calibri" w:cs="Calibri"/>
          <w:lang w:val="en-GB"/>
        </w:rPr>
        <w:t xml:space="preserve"> their</w:t>
      </w:r>
      <w:r w:rsidRPr="00616282">
        <w:rPr>
          <w:rFonts w:ascii="Calibri" w:hAnsi="Calibri" w:cs="Calibri"/>
          <w:lang w:val="en-GB"/>
        </w:rPr>
        <w:t xml:space="preserve"> decarbonisation strategy, </w:t>
      </w:r>
      <w:proofErr w:type="gramStart"/>
      <w:r w:rsidRPr="00616282">
        <w:rPr>
          <w:rFonts w:ascii="Calibri" w:hAnsi="Calibri" w:cs="Calibri"/>
          <w:lang w:val="en-GB"/>
        </w:rPr>
        <w:t>as long as</w:t>
      </w:r>
      <w:proofErr w:type="gramEnd"/>
      <w:r w:rsidRPr="00616282">
        <w:rPr>
          <w:rFonts w:ascii="Calibri" w:hAnsi="Calibri" w:cs="Calibri"/>
          <w:lang w:val="en-GB"/>
        </w:rPr>
        <w:t xml:space="preserve"> they can demonstrate they have put in place a </w:t>
      </w:r>
      <w:r w:rsidR="009E73D2">
        <w:rPr>
          <w:rFonts w:ascii="Calibri" w:hAnsi="Calibri" w:cs="Calibri"/>
          <w:lang w:val="en-GB"/>
        </w:rPr>
        <w:t xml:space="preserve">sound </w:t>
      </w:r>
      <w:r w:rsidRPr="00616282">
        <w:rPr>
          <w:rFonts w:ascii="Calibri" w:hAnsi="Calibri" w:cs="Calibri"/>
          <w:lang w:val="en-GB"/>
        </w:rPr>
        <w:t xml:space="preserve">governance and risk management framework. </w:t>
      </w:r>
      <w:r w:rsidR="00F338FC" w:rsidRPr="00616282">
        <w:rPr>
          <w:rFonts w:ascii="Calibri" w:hAnsi="Calibri" w:cs="Calibri"/>
          <w:lang w:val="en-GB"/>
        </w:rPr>
        <w:t>The Framework provides</w:t>
      </w:r>
      <w:r w:rsidRPr="00616282">
        <w:rPr>
          <w:rFonts w:ascii="Calibri" w:hAnsi="Calibri" w:cs="Calibri"/>
          <w:lang w:val="en-GB"/>
        </w:rPr>
        <w:t xml:space="preserve"> </w:t>
      </w:r>
      <w:r w:rsidR="00F338FC" w:rsidRPr="00616282">
        <w:rPr>
          <w:rFonts w:ascii="Calibri" w:hAnsi="Calibri" w:cs="Calibri"/>
          <w:lang w:val="en-GB"/>
        </w:rPr>
        <w:t>banks</w:t>
      </w:r>
      <w:r w:rsidRPr="00616282">
        <w:rPr>
          <w:rFonts w:ascii="Calibri" w:hAnsi="Calibri" w:cs="Calibri"/>
          <w:lang w:val="en-GB"/>
        </w:rPr>
        <w:t xml:space="preserve"> </w:t>
      </w:r>
      <w:r w:rsidR="00F338FC" w:rsidRPr="00616282">
        <w:rPr>
          <w:rFonts w:ascii="Calibri" w:hAnsi="Calibri" w:cs="Calibri"/>
          <w:lang w:val="en-GB"/>
        </w:rPr>
        <w:t xml:space="preserve">an opportunity to describe </w:t>
      </w:r>
      <w:r w:rsidR="009E73D2">
        <w:rPr>
          <w:rFonts w:ascii="Calibri" w:hAnsi="Calibri" w:cs="Calibri"/>
          <w:lang w:val="en-GB"/>
        </w:rPr>
        <w:t>the</w:t>
      </w:r>
      <w:r w:rsidR="009E73D2" w:rsidRPr="00616282">
        <w:rPr>
          <w:rFonts w:ascii="Calibri" w:hAnsi="Calibri" w:cs="Calibri"/>
          <w:lang w:val="en-GB"/>
        </w:rPr>
        <w:t xml:space="preserve"> </w:t>
      </w:r>
      <w:r w:rsidRPr="00616282">
        <w:rPr>
          <w:rFonts w:ascii="Calibri" w:hAnsi="Calibri" w:cs="Calibri"/>
          <w:lang w:val="en-GB"/>
        </w:rPr>
        <w:t xml:space="preserve">measures they take to measure and mitigate risks. </w:t>
      </w:r>
    </w:p>
    <w:p w14:paraId="5922336B" w14:textId="77777777" w:rsidR="00B37DD4" w:rsidRPr="00616282" w:rsidRDefault="00B37DD4" w:rsidP="009A11F4">
      <w:pPr>
        <w:jc w:val="both"/>
        <w:rPr>
          <w:rFonts w:ascii="Calibri" w:hAnsi="Calibri" w:cs="Calibri"/>
          <w:lang w:val="en-GB"/>
        </w:rPr>
      </w:pPr>
    </w:p>
    <w:p w14:paraId="0AA9EF24" w14:textId="1922D322" w:rsidR="00B37DD4" w:rsidRPr="00616282" w:rsidRDefault="00B37DD4" w:rsidP="00DC427C">
      <w:pPr>
        <w:pStyle w:val="ListParagraph"/>
        <w:numPr>
          <w:ilvl w:val="0"/>
          <w:numId w:val="39"/>
        </w:numPr>
        <w:jc w:val="both"/>
        <w:rPr>
          <w:rFonts w:ascii="Calibri" w:hAnsi="Calibri" w:cs="Calibri"/>
          <w:lang w:val="en-GB"/>
        </w:rPr>
      </w:pPr>
      <w:r w:rsidRPr="00616282">
        <w:rPr>
          <w:rFonts w:ascii="Calibri" w:hAnsi="Calibri" w:cs="Calibri"/>
          <w:b/>
          <w:bCs/>
          <w:lang w:val="en-GB"/>
        </w:rPr>
        <w:lastRenderedPageBreak/>
        <w:t>Interoperability</w:t>
      </w:r>
      <w:r w:rsidR="00281138" w:rsidRPr="00616282">
        <w:rPr>
          <w:rFonts w:ascii="Calibri" w:hAnsi="Calibri" w:cs="Calibri"/>
          <w:lang w:val="en-GB"/>
        </w:rPr>
        <w:t xml:space="preserve">: </w:t>
      </w:r>
      <w:r w:rsidR="00DC2CDC" w:rsidRPr="00616282">
        <w:rPr>
          <w:rFonts w:ascii="Calibri" w:hAnsi="Calibri" w:cs="Calibri"/>
          <w:lang w:val="en-GB"/>
        </w:rPr>
        <w:t xml:space="preserve">The Framework is modelled on the anticipated </w:t>
      </w:r>
      <w:r w:rsidR="0078156F" w:rsidRPr="00616282">
        <w:rPr>
          <w:rFonts w:ascii="Calibri" w:hAnsi="Calibri" w:cs="Calibri"/>
          <w:lang w:val="en-GB"/>
        </w:rPr>
        <w:t>Basel framework</w:t>
      </w:r>
      <w:r w:rsidR="00441D3B" w:rsidRPr="00616282">
        <w:rPr>
          <w:rFonts w:ascii="Calibri" w:hAnsi="Calibri" w:cs="Calibri"/>
          <w:lang w:val="en-GB"/>
        </w:rPr>
        <w:t xml:space="preserve"> </w:t>
      </w:r>
      <w:r w:rsidR="0028643C" w:rsidRPr="00616282">
        <w:rPr>
          <w:rFonts w:ascii="Calibri" w:hAnsi="Calibri" w:cs="Calibri"/>
          <w:lang w:val="en-GB"/>
        </w:rPr>
        <w:t>for climate-related disclosures under Pillar 3</w:t>
      </w:r>
      <w:r w:rsidR="009E73D2">
        <w:rPr>
          <w:rFonts w:ascii="Calibri" w:hAnsi="Calibri" w:cs="Calibri"/>
          <w:lang w:val="en-GB"/>
        </w:rPr>
        <w:t>,</w:t>
      </w:r>
      <w:r w:rsidR="0028643C" w:rsidRPr="00616282">
        <w:rPr>
          <w:rFonts w:ascii="Calibri" w:hAnsi="Calibri" w:cs="Calibri"/>
          <w:lang w:val="en-GB"/>
        </w:rPr>
        <w:t xml:space="preserve"> </w:t>
      </w:r>
      <w:r w:rsidR="00441D3B" w:rsidRPr="00616282">
        <w:rPr>
          <w:rFonts w:ascii="Calibri" w:hAnsi="Calibri" w:cs="Calibri"/>
          <w:lang w:val="en-GB"/>
        </w:rPr>
        <w:t xml:space="preserve">which will serve as the </w:t>
      </w:r>
      <w:r w:rsidR="0078156F" w:rsidRPr="00616282">
        <w:rPr>
          <w:rFonts w:ascii="Calibri" w:hAnsi="Calibri" w:cs="Calibri"/>
          <w:lang w:val="en-GB"/>
        </w:rPr>
        <w:t>international baseline for financial risk disclosures related to climate</w:t>
      </w:r>
      <w:r w:rsidR="00441D3B" w:rsidRPr="00616282">
        <w:rPr>
          <w:rFonts w:ascii="Calibri" w:hAnsi="Calibri" w:cs="Calibri"/>
          <w:lang w:val="en-GB"/>
        </w:rPr>
        <w:t>.</w:t>
      </w:r>
      <w:r w:rsidR="0078156F" w:rsidRPr="00616282">
        <w:rPr>
          <w:rFonts w:ascii="Calibri" w:hAnsi="Calibri" w:cs="Calibri"/>
          <w:lang w:val="en-GB"/>
        </w:rPr>
        <w:t xml:space="preserve"> </w:t>
      </w:r>
      <w:r w:rsidR="00441D3B" w:rsidRPr="00616282">
        <w:rPr>
          <w:rFonts w:ascii="Calibri" w:hAnsi="Calibri" w:cs="Calibri"/>
          <w:lang w:val="en-GB"/>
        </w:rPr>
        <w:t xml:space="preserve">Furthermore, </w:t>
      </w:r>
      <w:r w:rsidR="00C676C1" w:rsidRPr="00616282">
        <w:rPr>
          <w:rFonts w:ascii="Calibri" w:hAnsi="Calibri" w:cs="Calibri"/>
          <w:lang w:val="en-GB"/>
        </w:rPr>
        <w:t>the Framework seeks to optimize</w:t>
      </w:r>
      <w:r w:rsidR="0078156F" w:rsidRPr="00616282">
        <w:rPr>
          <w:rFonts w:ascii="Calibri" w:hAnsi="Calibri" w:cs="Calibri"/>
          <w:lang w:val="en-GB"/>
        </w:rPr>
        <w:t xml:space="preserve"> interoperability </w:t>
      </w:r>
      <w:r w:rsidR="00B720D9" w:rsidRPr="00616282">
        <w:rPr>
          <w:rFonts w:ascii="Calibri" w:hAnsi="Calibri" w:cs="Calibri"/>
          <w:lang w:val="en-GB"/>
        </w:rPr>
        <w:t>with</w:t>
      </w:r>
      <w:r w:rsidR="0078156F" w:rsidRPr="00616282">
        <w:rPr>
          <w:rFonts w:ascii="Calibri" w:hAnsi="Calibri" w:cs="Calibri"/>
          <w:lang w:val="en-GB"/>
        </w:rPr>
        <w:t xml:space="preserve"> ISSB standards</w:t>
      </w:r>
      <w:r w:rsidR="009E73D2">
        <w:rPr>
          <w:rFonts w:ascii="Calibri" w:hAnsi="Calibri" w:cs="Calibri"/>
          <w:lang w:val="en-GB"/>
        </w:rPr>
        <w:t>,</w:t>
      </w:r>
      <w:r w:rsidR="0078156F" w:rsidRPr="00616282">
        <w:rPr>
          <w:rFonts w:ascii="Calibri" w:hAnsi="Calibri" w:cs="Calibri"/>
          <w:lang w:val="en-GB"/>
        </w:rPr>
        <w:t xml:space="preserve"> </w:t>
      </w:r>
      <w:r w:rsidR="009E73D2">
        <w:rPr>
          <w:rFonts w:ascii="Calibri" w:hAnsi="Calibri" w:cs="Calibri"/>
          <w:lang w:val="en-GB"/>
        </w:rPr>
        <w:t>which</w:t>
      </w:r>
      <w:r w:rsidR="009E73D2" w:rsidRPr="00616282">
        <w:rPr>
          <w:rFonts w:ascii="Calibri" w:hAnsi="Calibri" w:cs="Calibri"/>
          <w:lang w:val="en-GB"/>
        </w:rPr>
        <w:t xml:space="preserve"> </w:t>
      </w:r>
      <w:r w:rsidR="0078156F" w:rsidRPr="00616282">
        <w:rPr>
          <w:rFonts w:ascii="Calibri" w:hAnsi="Calibri" w:cs="Calibri"/>
          <w:lang w:val="en-GB"/>
        </w:rPr>
        <w:t xml:space="preserve">are considered </w:t>
      </w:r>
      <w:r w:rsidR="009E73D2">
        <w:rPr>
          <w:rFonts w:ascii="Calibri" w:hAnsi="Calibri" w:cs="Calibri"/>
          <w:lang w:val="en-GB"/>
        </w:rPr>
        <w:t>the</w:t>
      </w:r>
      <w:r w:rsidR="0078156F" w:rsidRPr="00616282">
        <w:rPr>
          <w:rFonts w:ascii="Calibri" w:hAnsi="Calibri" w:cs="Calibri"/>
          <w:lang w:val="en-GB"/>
        </w:rPr>
        <w:t xml:space="preserve"> baseline for climate-related corporate disclosures. </w:t>
      </w:r>
      <w:r w:rsidR="00C676C1" w:rsidRPr="00616282">
        <w:rPr>
          <w:rFonts w:ascii="Calibri" w:hAnsi="Calibri" w:cs="Calibri"/>
          <w:lang w:val="en-GB"/>
        </w:rPr>
        <w:t>There will be some</w:t>
      </w:r>
      <w:r w:rsidR="0078156F" w:rsidRPr="00616282">
        <w:rPr>
          <w:rFonts w:ascii="Calibri" w:hAnsi="Calibri" w:cs="Calibri"/>
          <w:lang w:val="en-GB"/>
        </w:rPr>
        <w:t xml:space="preserve"> unavoidable overlaps</w:t>
      </w:r>
      <w:r w:rsidR="00C676C1" w:rsidRPr="00616282">
        <w:rPr>
          <w:rFonts w:ascii="Calibri" w:hAnsi="Calibri" w:cs="Calibri"/>
          <w:lang w:val="en-GB"/>
        </w:rPr>
        <w:t xml:space="preserve"> for which the CBK will provide</w:t>
      </w:r>
      <w:r w:rsidR="0078156F" w:rsidRPr="00616282">
        <w:rPr>
          <w:rFonts w:ascii="Calibri" w:hAnsi="Calibri" w:cs="Calibri"/>
          <w:lang w:val="en-GB"/>
        </w:rPr>
        <w:t xml:space="preserve"> cross-referencing </w:t>
      </w:r>
      <w:r w:rsidR="002B48CA" w:rsidRPr="00616282">
        <w:rPr>
          <w:rFonts w:ascii="Calibri" w:hAnsi="Calibri" w:cs="Calibri"/>
          <w:lang w:val="en-GB"/>
        </w:rPr>
        <w:t>and will be</w:t>
      </w:r>
      <w:r w:rsidR="0078156F" w:rsidRPr="00616282">
        <w:rPr>
          <w:rFonts w:ascii="Calibri" w:hAnsi="Calibri" w:cs="Calibri"/>
          <w:lang w:val="en-GB"/>
        </w:rPr>
        <w:t xml:space="preserve"> specifically highlighted in the </w:t>
      </w:r>
      <w:r w:rsidR="009C422E" w:rsidRPr="00616282">
        <w:rPr>
          <w:rFonts w:ascii="Calibri" w:hAnsi="Calibri" w:cs="Calibri"/>
          <w:lang w:val="en-GB"/>
        </w:rPr>
        <w:t>Framework Reporting Templates</w:t>
      </w:r>
      <w:r w:rsidR="009E73D2">
        <w:rPr>
          <w:rFonts w:ascii="Calibri" w:hAnsi="Calibri" w:cs="Calibri"/>
          <w:lang w:val="en-GB"/>
        </w:rPr>
        <w:t>-</w:t>
      </w:r>
      <w:r w:rsidR="005D2BF1" w:rsidRPr="00616282">
        <w:rPr>
          <w:rFonts w:ascii="Calibri" w:hAnsi="Calibri" w:cs="Calibri"/>
          <w:lang w:val="en-GB"/>
        </w:rPr>
        <w:t xml:space="preserve"> </w:t>
      </w:r>
      <w:r w:rsidR="009E73D2">
        <w:rPr>
          <w:rFonts w:ascii="Calibri" w:hAnsi="Calibri" w:cs="Calibri"/>
          <w:lang w:val="en-GB"/>
        </w:rPr>
        <w:t>Comparably</w:t>
      </w:r>
      <w:r w:rsidR="0078156F" w:rsidRPr="00616282">
        <w:rPr>
          <w:rFonts w:ascii="Calibri" w:hAnsi="Calibri" w:cs="Calibri"/>
          <w:lang w:val="en-GB"/>
        </w:rPr>
        <w:t>, the EU has already adopted a rather granular Pillar 3 disclosure standard on ESG related risks</w:t>
      </w:r>
      <w:r w:rsidR="005D2BF1" w:rsidRPr="00616282">
        <w:rPr>
          <w:rFonts w:ascii="Calibri" w:hAnsi="Calibri" w:cs="Calibri"/>
          <w:lang w:val="en-GB"/>
        </w:rPr>
        <w:t xml:space="preserve">. </w:t>
      </w:r>
    </w:p>
    <w:p w14:paraId="33EA12AB" w14:textId="73CEDE3F" w:rsidR="0069740B" w:rsidRPr="00616282" w:rsidRDefault="00882EAF" w:rsidP="0061766C">
      <w:pPr>
        <w:pStyle w:val="Heading1"/>
        <w:pBdr>
          <w:bottom w:val="single" w:sz="8" w:space="1" w:color="2E74B5" w:themeColor="accent5" w:themeShade="BF"/>
        </w:pBdr>
        <w:rPr>
          <w:rFonts w:ascii="Calibri" w:hAnsi="Calibri" w:cs="Calibri"/>
        </w:rPr>
      </w:pPr>
      <w:bookmarkStart w:id="12" w:name="_Toc167079285"/>
      <w:bookmarkStart w:id="13" w:name="_Toc167079475"/>
      <w:bookmarkStart w:id="14" w:name="_Toc171908180"/>
      <w:r w:rsidRPr="00616282">
        <w:rPr>
          <w:rFonts w:ascii="Calibri" w:hAnsi="Calibri" w:cs="Calibri"/>
        </w:rPr>
        <w:t xml:space="preserve">Exposure </w:t>
      </w:r>
      <w:r w:rsidR="00E00E70" w:rsidRPr="00616282">
        <w:rPr>
          <w:rFonts w:ascii="Calibri" w:hAnsi="Calibri" w:cs="Calibri"/>
        </w:rPr>
        <w:t xml:space="preserve">to </w:t>
      </w:r>
      <w:r w:rsidR="0008057D">
        <w:rPr>
          <w:rFonts w:ascii="Calibri" w:hAnsi="Calibri" w:cs="Calibri"/>
        </w:rPr>
        <w:t>climate-related</w:t>
      </w:r>
      <w:r w:rsidR="0069740B" w:rsidRPr="00616282">
        <w:rPr>
          <w:rFonts w:ascii="Calibri" w:hAnsi="Calibri" w:cs="Calibri"/>
        </w:rPr>
        <w:t xml:space="preserve"> financial risks</w:t>
      </w:r>
      <w:bookmarkEnd w:id="12"/>
      <w:bookmarkEnd w:id="13"/>
      <w:bookmarkEnd w:id="14"/>
    </w:p>
    <w:p w14:paraId="5AE34F0D" w14:textId="77777777" w:rsidR="008D72A7" w:rsidRPr="00616282" w:rsidRDefault="008D72A7" w:rsidP="001E0563">
      <w:pPr>
        <w:jc w:val="both"/>
        <w:rPr>
          <w:rFonts w:ascii="Calibri" w:hAnsi="Calibri" w:cs="Calibri"/>
          <w:lang w:val="en-GB"/>
        </w:rPr>
      </w:pPr>
    </w:p>
    <w:p w14:paraId="65555FE2" w14:textId="7F4DA58E" w:rsidR="00E00E70" w:rsidRPr="00616282" w:rsidRDefault="00E00E70" w:rsidP="0069740B">
      <w:pPr>
        <w:jc w:val="both"/>
        <w:rPr>
          <w:rFonts w:ascii="Calibri" w:hAnsi="Calibri" w:cs="Calibri"/>
          <w:lang w:val="en-GB"/>
        </w:rPr>
      </w:pPr>
      <w:r w:rsidRPr="00616282">
        <w:rPr>
          <w:rFonts w:ascii="Calibri" w:hAnsi="Calibri" w:cs="Calibri"/>
          <w:lang w:val="en-GB"/>
        </w:rPr>
        <w:t xml:space="preserve">The Framework </w:t>
      </w:r>
      <w:r w:rsidR="004B7407" w:rsidRPr="00616282">
        <w:rPr>
          <w:rFonts w:ascii="Calibri" w:hAnsi="Calibri" w:cs="Calibri"/>
          <w:lang w:val="en-GB"/>
        </w:rPr>
        <w:t xml:space="preserve">seeks to illuminate the exposures of </w:t>
      </w:r>
      <w:r w:rsidR="009148C8">
        <w:rPr>
          <w:rFonts w:ascii="Calibri" w:hAnsi="Calibri" w:cs="Calibri"/>
          <w:lang w:val="en-GB"/>
        </w:rPr>
        <w:t xml:space="preserve">the </w:t>
      </w:r>
      <w:r w:rsidR="004B7407" w:rsidRPr="00616282">
        <w:rPr>
          <w:rFonts w:ascii="Calibri" w:hAnsi="Calibri" w:cs="Calibri"/>
          <w:lang w:val="en-GB"/>
        </w:rPr>
        <w:t>banking sector</w:t>
      </w:r>
      <w:r w:rsidR="009148C8">
        <w:rPr>
          <w:rFonts w:ascii="Calibri" w:hAnsi="Calibri" w:cs="Calibri"/>
          <w:lang w:val="en-GB"/>
        </w:rPr>
        <w:t>’s</w:t>
      </w:r>
      <w:r w:rsidR="004B7407" w:rsidRPr="00616282">
        <w:rPr>
          <w:rFonts w:ascii="Calibri" w:hAnsi="Calibri" w:cs="Calibri"/>
          <w:lang w:val="en-GB"/>
        </w:rPr>
        <w:t xml:space="preserve"> credit portfolios to “inherent” climate</w:t>
      </w:r>
      <w:r w:rsidR="00151FD7" w:rsidRPr="00616282">
        <w:rPr>
          <w:rFonts w:ascii="Calibri" w:hAnsi="Calibri" w:cs="Calibri"/>
          <w:lang w:val="en-GB"/>
        </w:rPr>
        <w:t>-related</w:t>
      </w:r>
      <w:r w:rsidR="004B7407" w:rsidRPr="00616282">
        <w:rPr>
          <w:rFonts w:ascii="Calibri" w:hAnsi="Calibri" w:cs="Calibri"/>
          <w:lang w:val="en-GB"/>
        </w:rPr>
        <w:t xml:space="preserve"> risks. </w:t>
      </w:r>
      <w:r w:rsidR="009148C8">
        <w:rPr>
          <w:rFonts w:ascii="Calibri" w:hAnsi="Calibri" w:cs="Calibri"/>
          <w:lang w:val="en-GB"/>
        </w:rPr>
        <w:t>These</w:t>
      </w:r>
      <w:r w:rsidR="00151FD7" w:rsidRPr="00616282">
        <w:rPr>
          <w:rFonts w:ascii="Calibri" w:hAnsi="Calibri" w:cs="Calibri"/>
          <w:lang w:val="en-GB"/>
        </w:rPr>
        <w:t xml:space="preserve"> risks can be divided into two broad categories:</w:t>
      </w:r>
    </w:p>
    <w:p w14:paraId="326CBEFC" w14:textId="77777777" w:rsidR="008D72A7" w:rsidRPr="00616282" w:rsidRDefault="008D72A7" w:rsidP="00CF7814">
      <w:pPr>
        <w:pStyle w:val="ListParagraph"/>
        <w:jc w:val="both"/>
        <w:rPr>
          <w:rFonts w:ascii="Calibri" w:hAnsi="Calibri" w:cs="Calibri"/>
          <w:lang w:val="en-GB"/>
        </w:rPr>
      </w:pPr>
    </w:p>
    <w:p w14:paraId="3EF311E8" w14:textId="1CB1ED7A" w:rsidR="008D72A7" w:rsidRPr="00616282" w:rsidRDefault="008D72A7" w:rsidP="0090701E">
      <w:pPr>
        <w:pStyle w:val="ListParagraph"/>
        <w:numPr>
          <w:ilvl w:val="0"/>
          <w:numId w:val="1"/>
        </w:numPr>
        <w:ind w:left="360"/>
        <w:jc w:val="both"/>
        <w:rPr>
          <w:rFonts w:ascii="Calibri" w:hAnsi="Calibri" w:cs="Calibri"/>
          <w:lang w:val="en-GB"/>
        </w:rPr>
      </w:pPr>
      <w:r w:rsidRPr="00616282">
        <w:rPr>
          <w:rFonts w:ascii="Calibri" w:hAnsi="Calibri" w:cs="Calibri"/>
          <w:b/>
          <w:bCs/>
          <w:lang w:val="en-GB"/>
        </w:rPr>
        <w:t>Transition risks</w:t>
      </w:r>
      <w:r w:rsidR="00DE2181">
        <w:rPr>
          <w:rFonts w:ascii="Calibri" w:hAnsi="Calibri" w:cs="Calibri"/>
          <w:lang w:val="en-GB"/>
        </w:rPr>
        <w:t xml:space="preserve">: These are </w:t>
      </w:r>
      <w:r w:rsidRPr="00616282">
        <w:rPr>
          <w:rFonts w:ascii="Calibri" w:hAnsi="Calibri" w:cs="Calibri"/>
          <w:lang w:val="en-GB"/>
        </w:rPr>
        <w:t xml:space="preserve">hazards associated with the shift toward a low-carbon economy </w:t>
      </w:r>
      <w:r w:rsidR="00282958" w:rsidRPr="00616282">
        <w:rPr>
          <w:rFonts w:ascii="Calibri" w:hAnsi="Calibri" w:cs="Calibri"/>
          <w:lang w:val="en-GB"/>
        </w:rPr>
        <w:t xml:space="preserve">that </w:t>
      </w:r>
      <w:r w:rsidRPr="00616282">
        <w:rPr>
          <w:rFonts w:ascii="Calibri" w:hAnsi="Calibri" w:cs="Calibri"/>
          <w:lang w:val="en-GB"/>
        </w:rPr>
        <w:t>can significantly impact the credit, market, operational, and liquidity risk</w:t>
      </w:r>
      <w:r w:rsidR="00B85E04" w:rsidRPr="00616282">
        <w:rPr>
          <w:rFonts w:ascii="Calibri" w:hAnsi="Calibri" w:cs="Calibri"/>
          <w:lang w:val="en-GB"/>
        </w:rPr>
        <w:t xml:space="preserve"> profiles of financial institutions</w:t>
      </w:r>
      <w:r w:rsidRPr="00616282">
        <w:rPr>
          <w:rFonts w:ascii="Calibri" w:hAnsi="Calibri" w:cs="Calibri"/>
          <w:lang w:val="en-GB"/>
        </w:rPr>
        <w:t xml:space="preserve">. </w:t>
      </w:r>
      <w:r w:rsidR="00CB1F49" w:rsidRPr="00616282">
        <w:rPr>
          <w:rFonts w:ascii="Calibri" w:hAnsi="Calibri" w:cs="Calibri"/>
          <w:lang w:val="en-GB"/>
        </w:rPr>
        <w:t>For example, some c</w:t>
      </w:r>
      <w:r w:rsidR="00B85E04" w:rsidRPr="00616282">
        <w:rPr>
          <w:rFonts w:ascii="Calibri" w:hAnsi="Calibri" w:cs="Calibri"/>
          <w:lang w:val="en-GB"/>
        </w:rPr>
        <w:t xml:space="preserve">ounterparties financed by banks </w:t>
      </w:r>
      <w:r w:rsidRPr="00616282">
        <w:rPr>
          <w:rFonts w:ascii="Calibri" w:hAnsi="Calibri" w:cs="Calibri"/>
          <w:lang w:val="en-GB"/>
        </w:rPr>
        <w:t>operating in energy-intensive or high-carbon sectors</w:t>
      </w:r>
      <w:r w:rsidR="00CB1F49" w:rsidRPr="00616282">
        <w:rPr>
          <w:rFonts w:ascii="Calibri" w:hAnsi="Calibri" w:cs="Calibri"/>
          <w:lang w:val="en-GB"/>
        </w:rPr>
        <w:t xml:space="preserve"> </w:t>
      </w:r>
      <w:r w:rsidRPr="00616282">
        <w:rPr>
          <w:rFonts w:ascii="Calibri" w:hAnsi="Calibri" w:cs="Calibri"/>
          <w:lang w:val="en-GB"/>
        </w:rPr>
        <w:t xml:space="preserve">may face </w:t>
      </w:r>
      <w:r w:rsidR="00DE2181">
        <w:rPr>
          <w:rFonts w:ascii="Calibri" w:hAnsi="Calibri" w:cs="Calibri"/>
          <w:lang w:val="en-GB"/>
        </w:rPr>
        <w:t>reduced</w:t>
      </w:r>
      <w:r w:rsidR="00DE2181" w:rsidRPr="00616282">
        <w:rPr>
          <w:rFonts w:ascii="Calibri" w:hAnsi="Calibri" w:cs="Calibri"/>
          <w:lang w:val="en-GB"/>
        </w:rPr>
        <w:t xml:space="preserve"> </w:t>
      </w:r>
      <w:r w:rsidRPr="00616282">
        <w:rPr>
          <w:rFonts w:ascii="Calibri" w:hAnsi="Calibri" w:cs="Calibri"/>
          <w:lang w:val="en-GB"/>
        </w:rPr>
        <w:t>competitiveness during the transition to a low-carbon economy, particularly if they have not taken steps to adapt. This decline in market competitiveness can arise from factors such as increased carbon pricing, heightened vulnerability to energy price fluctuations, asset devaluation, more stringent environmental regulations, and evolving consumer preferences</w:t>
      </w:r>
      <w:r w:rsidR="00DE2181">
        <w:rPr>
          <w:rFonts w:ascii="Calibri" w:hAnsi="Calibri" w:cs="Calibri"/>
          <w:lang w:val="en-GB"/>
        </w:rPr>
        <w:t xml:space="preserve">, </w:t>
      </w:r>
      <w:r w:rsidRPr="00616282">
        <w:rPr>
          <w:rFonts w:ascii="Calibri" w:hAnsi="Calibri" w:cs="Calibri"/>
          <w:lang w:val="en-GB"/>
        </w:rPr>
        <w:t>ultimately elevat</w:t>
      </w:r>
      <w:r w:rsidR="00DE2181">
        <w:rPr>
          <w:rFonts w:ascii="Calibri" w:hAnsi="Calibri" w:cs="Calibri"/>
          <w:lang w:val="en-GB"/>
        </w:rPr>
        <w:t>ing</w:t>
      </w:r>
      <w:r w:rsidRPr="00616282">
        <w:rPr>
          <w:rFonts w:ascii="Calibri" w:hAnsi="Calibri" w:cs="Calibri"/>
          <w:lang w:val="en-GB"/>
        </w:rPr>
        <w:t xml:space="preserve"> the risk of default for these c</w:t>
      </w:r>
      <w:r w:rsidR="00922070" w:rsidRPr="00616282">
        <w:rPr>
          <w:rFonts w:ascii="Calibri" w:hAnsi="Calibri" w:cs="Calibri"/>
          <w:lang w:val="en-GB"/>
        </w:rPr>
        <w:t>ounterparties</w:t>
      </w:r>
      <w:r w:rsidRPr="00616282">
        <w:rPr>
          <w:rFonts w:ascii="Calibri" w:hAnsi="Calibri" w:cs="Calibri"/>
          <w:lang w:val="en-GB"/>
        </w:rPr>
        <w:t>.</w:t>
      </w:r>
      <w:r w:rsidR="005806C7" w:rsidRPr="00616282">
        <w:rPr>
          <w:rFonts w:ascii="Calibri" w:hAnsi="Calibri" w:cs="Calibri"/>
          <w:lang w:val="en-GB"/>
        </w:rPr>
        <w:t xml:space="preserve"> Transition risk breaks down into the question of how fast and vehement the transformation is happening for a given sector – and, </w:t>
      </w:r>
      <w:r w:rsidR="00B720D9" w:rsidRPr="00616282">
        <w:rPr>
          <w:rFonts w:ascii="Calibri" w:hAnsi="Calibri" w:cs="Calibri"/>
          <w:lang w:val="en-GB"/>
        </w:rPr>
        <w:t>therefore</w:t>
      </w:r>
      <w:r w:rsidR="005806C7" w:rsidRPr="00616282">
        <w:rPr>
          <w:rFonts w:ascii="Calibri" w:hAnsi="Calibri" w:cs="Calibri"/>
          <w:lang w:val="en-GB"/>
        </w:rPr>
        <w:t>, how likely it is for a given company to not be able to keep up with it and suffer economic damage accordingly</w:t>
      </w:r>
      <w:r w:rsidR="0039559C" w:rsidRPr="00616282">
        <w:rPr>
          <w:rFonts w:ascii="Calibri" w:hAnsi="Calibri" w:cs="Calibri"/>
          <w:lang w:val="en-GB"/>
        </w:rPr>
        <w:t>.</w:t>
      </w:r>
    </w:p>
    <w:p w14:paraId="1B935D4F" w14:textId="77777777" w:rsidR="008D72A7" w:rsidRPr="00616282" w:rsidRDefault="008D72A7" w:rsidP="0090701E">
      <w:pPr>
        <w:pStyle w:val="ListParagraph"/>
        <w:ind w:left="360"/>
        <w:jc w:val="both"/>
        <w:rPr>
          <w:rFonts w:ascii="Calibri" w:hAnsi="Calibri" w:cs="Calibri"/>
          <w:lang w:val="en-GB"/>
        </w:rPr>
      </w:pPr>
    </w:p>
    <w:p w14:paraId="3192BFC4" w14:textId="35B814B2" w:rsidR="00CF7814" w:rsidRPr="00616282" w:rsidRDefault="008D72A7" w:rsidP="0090701E">
      <w:pPr>
        <w:pStyle w:val="ListParagraph"/>
        <w:numPr>
          <w:ilvl w:val="0"/>
          <w:numId w:val="1"/>
        </w:numPr>
        <w:ind w:left="360"/>
        <w:jc w:val="both"/>
        <w:rPr>
          <w:rFonts w:ascii="Calibri" w:hAnsi="Calibri" w:cs="Calibri"/>
          <w:lang w:val="en-GB"/>
        </w:rPr>
      </w:pPr>
      <w:r w:rsidRPr="00616282">
        <w:rPr>
          <w:rFonts w:ascii="Calibri" w:hAnsi="Calibri" w:cs="Calibri"/>
          <w:b/>
          <w:bCs/>
          <w:lang w:val="en-GB"/>
        </w:rPr>
        <w:t>Physical risks</w:t>
      </w:r>
      <w:r w:rsidR="00DE2181">
        <w:rPr>
          <w:rFonts w:ascii="Calibri" w:hAnsi="Calibri" w:cs="Calibri"/>
          <w:lang w:val="en-GB"/>
        </w:rPr>
        <w:t xml:space="preserve">: These </w:t>
      </w:r>
      <w:r w:rsidRPr="00CB4FD6">
        <w:rPr>
          <w:rFonts w:ascii="Calibri" w:hAnsi="Calibri" w:cs="Calibri"/>
          <w:lang w:val="en-GB"/>
        </w:rPr>
        <w:t>pertain</w:t>
      </w:r>
      <w:r w:rsidRPr="00616282">
        <w:rPr>
          <w:rFonts w:ascii="Calibri" w:hAnsi="Calibri" w:cs="Calibri"/>
          <w:lang w:val="en-GB"/>
        </w:rPr>
        <w:t xml:space="preserve"> to the </w:t>
      </w:r>
      <w:r w:rsidR="00E16D05" w:rsidRPr="00616282">
        <w:rPr>
          <w:rFonts w:ascii="Calibri" w:hAnsi="Calibri" w:cs="Calibri"/>
          <w:lang w:val="en-GB"/>
        </w:rPr>
        <w:t xml:space="preserve">physical impacts </w:t>
      </w:r>
      <w:r w:rsidRPr="00616282">
        <w:rPr>
          <w:rFonts w:ascii="Calibri" w:hAnsi="Calibri" w:cs="Calibri"/>
          <w:lang w:val="en-GB"/>
        </w:rPr>
        <w:t xml:space="preserve">associated with climate change, encompassing both more frequent </w:t>
      </w:r>
      <w:r w:rsidR="00BC7ED4">
        <w:rPr>
          <w:rFonts w:ascii="Calibri" w:hAnsi="Calibri" w:cs="Calibri"/>
          <w:lang w:val="en-GB"/>
        </w:rPr>
        <w:t xml:space="preserve">and </w:t>
      </w:r>
      <w:r w:rsidRPr="00616282">
        <w:rPr>
          <w:rFonts w:ascii="Calibri" w:hAnsi="Calibri" w:cs="Calibri"/>
          <w:lang w:val="en-GB"/>
        </w:rPr>
        <w:t>severe weather occurrences and gradual shifts in environmental conditions. This includes factors such as air, water, and land pollution, water scarcity, loss of biodiversity, and deforestation. Physical risk is classified as "acute" when triggered by sudden extreme events like droughts, floods, and storms, and "chronic" when stemming from ongoing changes such as rising temperatures, sea levels, water scarcity, biodiversity loss, alterations in land use, habitat destruction, and resource depletion. These risks can lead directly to outcomes like property damage or decreased productivity, and indirectly result in subsequent disruptions such as supply chain disturbances.</w:t>
      </w:r>
    </w:p>
    <w:p w14:paraId="30C0470F" w14:textId="77777777" w:rsidR="004725EE" w:rsidRDefault="004725EE" w:rsidP="004725EE">
      <w:pPr>
        <w:rPr>
          <w:lang w:val="en-GB"/>
        </w:rPr>
      </w:pPr>
    </w:p>
    <w:p w14:paraId="0F87709E" w14:textId="77777777" w:rsidR="00157082" w:rsidRDefault="00157082">
      <w:pPr>
        <w:rPr>
          <w:rFonts w:ascii="Calibri" w:hAnsi="Calibri" w:cs="Calibri"/>
          <w:b/>
          <w:bCs/>
          <w:color w:val="ED7D31" w:themeColor="accent2"/>
          <w:lang w:val="en-GB"/>
        </w:rPr>
      </w:pPr>
      <w:r>
        <w:rPr>
          <w:rFonts w:ascii="Calibri" w:hAnsi="Calibri" w:cs="Calibri"/>
          <w:b/>
          <w:bCs/>
          <w:i/>
          <w:iCs/>
          <w:color w:val="ED7D31" w:themeColor="accent2"/>
          <w:lang w:val="en-GB"/>
        </w:rPr>
        <w:br w:type="page"/>
      </w:r>
    </w:p>
    <w:p w14:paraId="16A7FE9F" w14:textId="215BC371" w:rsidR="008D72A7" w:rsidRPr="00616282" w:rsidRDefault="00673341" w:rsidP="007E6EB1">
      <w:pPr>
        <w:pStyle w:val="Caption"/>
        <w:rPr>
          <w:rFonts w:ascii="Calibri" w:hAnsi="Calibri" w:cs="Calibri"/>
          <w:b/>
          <w:bCs/>
          <w:i w:val="0"/>
          <w:iCs w:val="0"/>
          <w:color w:val="ED7D31" w:themeColor="accent2"/>
          <w:sz w:val="24"/>
          <w:szCs w:val="24"/>
          <w:lang w:val="en-GB"/>
        </w:rPr>
      </w:pPr>
      <w:bookmarkStart w:id="15" w:name="_Toc175223817"/>
      <w:r w:rsidRPr="00616282">
        <w:rPr>
          <w:rFonts w:ascii="Calibri" w:hAnsi="Calibri" w:cs="Calibri"/>
          <w:b/>
          <w:bCs/>
          <w:i w:val="0"/>
          <w:iCs w:val="0"/>
          <w:color w:val="ED7D31" w:themeColor="accent2"/>
          <w:sz w:val="24"/>
          <w:szCs w:val="24"/>
          <w:lang w:val="en-GB"/>
        </w:rPr>
        <w:lastRenderedPageBreak/>
        <w:t xml:space="preserve">Figure </w:t>
      </w:r>
      <w:r w:rsidR="00446278" w:rsidRPr="00616282">
        <w:rPr>
          <w:rFonts w:ascii="Calibri" w:hAnsi="Calibri" w:cs="Calibri"/>
          <w:b/>
          <w:bCs/>
          <w:i w:val="0"/>
          <w:iCs w:val="0"/>
          <w:color w:val="ED7D31" w:themeColor="accent2"/>
          <w:sz w:val="24"/>
          <w:szCs w:val="24"/>
          <w:lang w:val="en-GB"/>
        </w:rPr>
        <w:fldChar w:fldCharType="begin"/>
      </w:r>
      <w:r w:rsidR="00446278" w:rsidRPr="00616282">
        <w:rPr>
          <w:rFonts w:ascii="Calibri" w:hAnsi="Calibri" w:cs="Calibri"/>
          <w:b/>
          <w:bCs/>
          <w:i w:val="0"/>
          <w:iCs w:val="0"/>
          <w:color w:val="ED7D31" w:themeColor="accent2"/>
          <w:sz w:val="24"/>
          <w:szCs w:val="24"/>
          <w:lang w:val="en-GB"/>
        </w:rPr>
        <w:instrText xml:space="preserve"> SEQ Figure \* ARABIC </w:instrText>
      </w:r>
      <w:r w:rsidR="00446278" w:rsidRPr="00616282">
        <w:rPr>
          <w:rFonts w:ascii="Calibri" w:hAnsi="Calibri" w:cs="Calibri"/>
          <w:b/>
          <w:bCs/>
          <w:i w:val="0"/>
          <w:iCs w:val="0"/>
          <w:color w:val="ED7D31" w:themeColor="accent2"/>
          <w:sz w:val="24"/>
          <w:szCs w:val="24"/>
          <w:lang w:val="en-GB"/>
        </w:rPr>
        <w:fldChar w:fldCharType="separate"/>
      </w:r>
      <w:r w:rsidR="0096670A">
        <w:rPr>
          <w:rFonts w:ascii="Calibri" w:hAnsi="Calibri" w:cs="Calibri"/>
          <w:b/>
          <w:bCs/>
          <w:i w:val="0"/>
          <w:iCs w:val="0"/>
          <w:noProof/>
          <w:color w:val="ED7D31" w:themeColor="accent2"/>
          <w:sz w:val="24"/>
          <w:szCs w:val="24"/>
          <w:lang w:val="en-GB"/>
        </w:rPr>
        <w:t>2</w:t>
      </w:r>
      <w:r w:rsidR="00446278" w:rsidRPr="00616282">
        <w:rPr>
          <w:rFonts w:ascii="Calibri" w:hAnsi="Calibri" w:cs="Calibri"/>
          <w:b/>
          <w:bCs/>
          <w:i w:val="0"/>
          <w:iCs w:val="0"/>
          <w:color w:val="ED7D31" w:themeColor="accent2"/>
          <w:sz w:val="24"/>
          <w:szCs w:val="24"/>
          <w:lang w:val="en-GB"/>
        </w:rPr>
        <w:fldChar w:fldCharType="end"/>
      </w:r>
      <w:r w:rsidRPr="00616282">
        <w:rPr>
          <w:rFonts w:ascii="Calibri" w:hAnsi="Calibri" w:cs="Calibri"/>
          <w:b/>
          <w:bCs/>
          <w:i w:val="0"/>
          <w:iCs w:val="0"/>
          <w:color w:val="ED7D31" w:themeColor="accent2"/>
          <w:sz w:val="24"/>
          <w:szCs w:val="24"/>
          <w:lang w:val="en-GB"/>
        </w:rPr>
        <w:t xml:space="preserve">. </w:t>
      </w:r>
      <w:r w:rsidR="00BA721C" w:rsidRPr="00616282">
        <w:rPr>
          <w:rFonts w:ascii="Calibri" w:hAnsi="Calibri" w:cs="Calibri"/>
          <w:b/>
          <w:bCs/>
          <w:i w:val="0"/>
          <w:iCs w:val="0"/>
          <w:color w:val="ED7D31" w:themeColor="accent2"/>
          <w:sz w:val="24"/>
          <w:szCs w:val="24"/>
          <w:lang w:val="en-GB"/>
        </w:rPr>
        <w:t>Classifying climate risks and opportunities</w:t>
      </w:r>
      <w:bookmarkEnd w:id="15"/>
    </w:p>
    <w:p w14:paraId="45DFD135" w14:textId="130B4C4C" w:rsidR="008D72A7" w:rsidRPr="00616282" w:rsidRDefault="00570039" w:rsidP="00616282">
      <w:pPr>
        <w:jc w:val="center"/>
        <w:rPr>
          <w:rFonts w:ascii="Calibri" w:hAnsi="Calibri" w:cs="Calibri"/>
          <w:lang w:val="en-GB"/>
        </w:rPr>
      </w:pPr>
      <w:r w:rsidRPr="00616282">
        <w:rPr>
          <w:rFonts w:ascii="Calibri" w:hAnsi="Calibri" w:cs="Calibri"/>
          <w:noProof/>
        </w:rPr>
        <w:drawing>
          <wp:inline distT="0" distB="0" distL="0" distR="0" wp14:anchorId="337AC1EC" wp14:editId="44160CD2">
            <wp:extent cx="5130800" cy="2440343"/>
            <wp:effectExtent l="0" t="0" r="0" b="0"/>
            <wp:docPr id="79495938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4959386" name=""/>
                    <pic:cNvPicPr/>
                  </pic:nvPicPr>
                  <pic:blipFill>
                    <a:blip r:embed="rId13"/>
                    <a:stretch>
                      <a:fillRect/>
                    </a:stretch>
                  </pic:blipFill>
                  <pic:spPr>
                    <a:xfrm>
                      <a:off x="0" y="0"/>
                      <a:ext cx="5140991" cy="2445190"/>
                    </a:xfrm>
                    <a:prstGeom prst="rect">
                      <a:avLst/>
                    </a:prstGeom>
                  </pic:spPr>
                </pic:pic>
              </a:graphicData>
            </a:graphic>
          </wp:inline>
        </w:drawing>
      </w:r>
    </w:p>
    <w:p w14:paraId="542D7A28" w14:textId="77777777" w:rsidR="00BC7ED4" w:rsidRDefault="00BC7ED4" w:rsidP="00616282">
      <w:pPr>
        <w:jc w:val="both"/>
        <w:rPr>
          <w:rFonts w:ascii="Calibri" w:hAnsi="Calibri" w:cs="Calibri"/>
          <w:lang w:val="en-GB"/>
        </w:rPr>
      </w:pPr>
    </w:p>
    <w:p w14:paraId="5673BF82" w14:textId="1312D2CB" w:rsidR="00C84397" w:rsidRPr="00616282" w:rsidRDefault="003A69B0" w:rsidP="00616282">
      <w:pPr>
        <w:jc w:val="both"/>
        <w:rPr>
          <w:rFonts w:ascii="Calibri" w:hAnsi="Calibri" w:cs="Calibri"/>
          <w:lang w:val="en-GB"/>
        </w:rPr>
      </w:pPr>
      <w:r w:rsidRPr="00616282">
        <w:rPr>
          <w:rFonts w:ascii="Calibri" w:hAnsi="Calibri" w:cs="Calibri"/>
          <w:lang w:val="en-GB"/>
        </w:rPr>
        <w:t xml:space="preserve">The Framework Reporting Templates (the “Templates”) include tables for the reporting of exposures to both transition and physical climate-related risk exposures. </w:t>
      </w:r>
    </w:p>
    <w:p w14:paraId="085CDC49" w14:textId="36BD8D6A" w:rsidR="008D3A07" w:rsidRPr="00616282" w:rsidRDefault="008D3A07" w:rsidP="00570039">
      <w:pPr>
        <w:rPr>
          <w:rFonts w:ascii="Calibri" w:hAnsi="Calibri" w:cs="Calibri"/>
          <w:lang w:val="en-GB"/>
        </w:rPr>
      </w:pPr>
    </w:p>
    <w:p w14:paraId="6D2B2ED1" w14:textId="1DC88B0D" w:rsidR="009705D2" w:rsidRPr="00616282" w:rsidRDefault="009705D2" w:rsidP="00B720D9">
      <w:pPr>
        <w:pStyle w:val="Heading2"/>
        <w:rPr>
          <w:rFonts w:ascii="Calibri" w:hAnsi="Calibri" w:cs="Calibri"/>
          <w:lang w:val="en-GB"/>
        </w:rPr>
      </w:pPr>
      <w:bookmarkStart w:id="16" w:name="_Toc171908181"/>
      <w:r w:rsidRPr="00616282">
        <w:rPr>
          <w:rFonts w:ascii="Calibri" w:hAnsi="Calibri" w:cs="Calibri"/>
          <w:lang w:val="en-GB"/>
        </w:rPr>
        <w:t>Physical Risk Exposures</w:t>
      </w:r>
      <w:bookmarkEnd w:id="16"/>
    </w:p>
    <w:p w14:paraId="5A72C4F4" w14:textId="77777777" w:rsidR="003A69B0" w:rsidRPr="00616282" w:rsidRDefault="003A69B0" w:rsidP="00570039">
      <w:pPr>
        <w:rPr>
          <w:rFonts w:ascii="Calibri" w:hAnsi="Calibri" w:cs="Calibri"/>
          <w:lang w:val="en-GB"/>
        </w:rPr>
      </w:pPr>
    </w:p>
    <w:p w14:paraId="7361E1B3" w14:textId="5F2588A5" w:rsidR="003A69B0" w:rsidRPr="00616282" w:rsidRDefault="00BC7ED4" w:rsidP="003A69B0">
      <w:pPr>
        <w:jc w:val="both"/>
        <w:rPr>
          <w:rFonts w:ascii="Calibri" w:hAnsi="Calibri" w:cs="Calibri"/>
          <w:lang w:val="en-GB"/>
        </w:rPr>
      </w:pPr>
      <w:r>
        <w:rPr>
          <w:rFonts w:ascii="Calibri" w:hAnsi="Calibri" w:cs="Calibri"/>
          <w:lang w:val="en-GB"/>
        </w:rPr>
        <w:t xml:space="preserve">The </w:t>
      </w:r>
      <w:r w:rsidR="003A69B0" w:rsidRPr="00616282">
        <w:rPr>
          <w:rFonts w:ascii="Calibri" w:hAnsi="Calibri" w:cs="Calibri"/>
          <w:lang w:val="en-GB"/>
        </w:rPr>
        <w:t xml:space="preserve">CBK has </w:t>
      </w:r>
      <w:r w:rsidR="003A69B0" w:rsidRPr="009476F4">
        <w:rPr>
          <w:rFonts w:ascii="Calibri" w:hAnsi="Calibri" w:cs="Calibri"/>
          <w:lang w:val="en-GB"/>
        </w:rPr>
        <w:t>mapped the prominent hazards across Kenya by frequency and intensity at a very granular level. The modelled data can be found on the CBK website. For</w:t>
      </w:r>
      <w:r w:rsidR="003A69B0" w:rsidRPr="00616282">
        <w:rPr>
          <w:rFonts w:ascii="Calibri" w:hAnsi="Calibri" w:cs="Calibri"/>
          <w:lang w:val="en-GB"/>
        </w:rPr>
        <w:t xml:space="preserve"> purposes of reporting and aiding the financial sector </w:t>
      </w:r>
      <w:r>
        <w:rPr>
          <w:rFonts w:ascii="Calibri" w:hAnsi="Calibri" w:cs="Calibri"/>
          <w:lang w:val="en-GB"/>
        </w:rPr>
        <w:t>in</w:t>
      </w:r>
      <w:r w:rsidR="003A69B0" w:rsidRPr="00616282">
        <w:rPr>
          <w:rFonts w:ascii="Calibri" w:hAnsi="Calibri" w:cs="Calibri"/>
          <w:lang w:val="en-GB"/>
        </w:rPr>
        <w:t xml:space="preserve"> assess</w:t>
      </w:r>
      <w:r>
        <w:rPr>
          <w:rFonts w:ascii="Calibri" w:hAnsi="Calibri" w:cs="Calibri"/>
          <w:lang w:val="en-GB"/>
        </w:rPr>
        <w:t>ing</w:t>
      </w:r>
      <w:r w:rsidR="003A69B0" w:rsidRPr="00616282">
        <w:rPr>
          <w:rFonts w:ascii="Calibri" w:hAnsi="Calibri" w:cs="Calibri"/>
          <w:lang w:val="en-GB"/>
        </w:rPr>
        <w:t xml:space="preserve"> exposure to physical climate-related risks the CBK has provided indicative risk scoring by hazard and by county in the Framework Templates. These should be viewed as starting points for the banking sector’s analysis of counterparty exposure and vulnerability to a given hazard </w:t>
      </w:r>
      <w:r w:rsidR="002666C8" w:rsidRPr="00616282">
        <w:rPr>
          <w:rFonts w:ascii="Calibri" w:hAnsi="Calibri" w:cs="Calibri"/>
          <w:lang w:val="en-GB"/>
        </w:rPr>
        <w:t>in each</w:t>
      </w:r>
      <w:r w:rsidR="003A69B0" w:rsidRPr="00616282">
        <w:rPr>
          <w:rFonts w:ascii="Calibri" w:hAnsi="Calibri" w:cs="Calibri"/>
          <w:lang w:val="en-GB"/>
        </w:rPr>
        <w:t xml:space="preserve"> area</w:t>
      </w:r>
      <w:r w:rsidR="00E94080" w:rsidRPr="00616282">
        <w:rPr>
          <w:rFonts w:ascii="Calibri" w:hAnsi="Calibri" w:cs="Calibri"/>
          <w:lang w:val="en-GB"/>
        </w:rPr>
        <w:t xml:space="preserve"> (to inform inputs on Physical Risk Exposures Part B)</w:t>
      </w:r>
      <w:r w:rsidR="003A69B0" w:rsidRPr="00616282">
        <w:rPr>
          <w:rFonts w:ascii="Calibri" w:hAnsi="Calibri" w:cs="Calibri"/>
          <w:lang w:val="en-GB"/>
        </w:rPr>
        <w:t xml:space="preserve">. </w:t>
      </w:r>
    </w:p>
    <w:p w14:paraId="4D849C02" w14:textId="77777777" w:rsidR="003A69B0" w:rsidRPr="00616282" w:rsidRDefault="003A69B0" w:rsidP="00570039">
      <w:pPr>
        <w:rPr>
          <w:rFonts w:ascii="Calibri" w:hAnsi="Calibri" w:cs="Calibri"/>
          <w:lang w:val="en-GB"/>
        </w:rPr>
      </w:pPr>
    </w:p>
    <w:p w14:paraId="63B5F73F" w14:textId="4EF52AB1" w:rsidR="00922D8A" w:rsidRPr="00616282" w:rsidRDefault="00B57CA1" w:rsidP="00616282">
      <w:pPr>
        <w:jc w:val="both"/>
        <w:rPr>
          <w:rFonts w:ascii="Calibri" w:hAnsi="Calibri" w:cs="Calibri"/>
          <w:lang w:val="en-GB"/>
        </w:rPr>
      </w:pPr>
      <w:r w:rsidRPr="00616282">
        <w:rPr>
          <w:rFonts w:ascii="Calibri" w:hAnsi="Calibri" w:cs="Calibri"/>
          <w:lang w:val="en-GB"/>
        </w:rPr>
        <w:t>For physical risks, the Templates</w:t>
      </w:r>
      <w:r w:rsidR="00E94080" w:rsidRPr="00616282">
        <w:rPr>
          <w:rFonts w:ascii="Calibri" w:hAnsi="Calibri" w:cs="Calibri"/>
          <w:lang w:val="en-GB"/>
        </w:rPr>
        <w:t xml:space="preserve"> Part A</w:t>
      </w:r>
      <w:r w:rsidRPr="00616282">
        <w:rPr>
          <w:rFonts w:ascii="Calibri" w:hAnsi="Calibri" w:cs="Calibri"/>
          <w:lang w:val="en-GB"/>
        </w:rPr>
        <w:t xml:space="preserve"> </w:t>
      </w:r>
      <w:r w:rsidR="00BC32C9" w:rsidRPr="00616282">
        <w:rPr>
          <w:rFonts w:ascii="Calibri" w:hAnsi="Calibri" w:cs="Calibri"/>
          <w:lang w:val="en-GB"/>
        </w:rPr>
        <w:t>request</w:t>
      </w:r>
      <w:r w:rsidR="00BC7ED4">
        <w:rPr>
          <w:rFonts w:ascii="Calibri" w:hAnsi="Calibri" w:cs="Calibri"/>
          <w:lang w:val="en-GB"/>
        </w:rPr>
        <w:t>s</w:t>
      </w:r>
      <w:r w:rsidR="00BC32C9" w:rsidRPr="00616282">
        <w:rPr>
          <w:rFonts w:ascii="Calibri" w:hAnsi="Calibri" w:cs="Calibri"/>
          <w:lang w:val="en-GB"/>
        </w:rPr>
        <w:t xml:space="preserve"> </w:t>
      </w:r>
      <w:r w:rsidR="000C4B54" w:rsidRPr="00616282">
        <w:rPr>
          <w:rFonts w:ascii="Calibri" w:hAnsi="Calibri" w:cs="Calibri"/>
          <w:lang w:val="en-GB"/>
        </w:rPr>
        <w:t>immovable collaterals by county and for</w:t>
      </w:r>
      <w:r w:rsidR="00E94080" w:rsidRPr="00616282">
        <w:rPr>
          <w:rFonts w:ascii="Calibri" w:hAnsi="Calibri" w:cs="Calibri"/>
          <w:lang w:val="en-GB"/>
        </w:rPr>
        <w:t xml:space="preserve"> Part B</w:t>
      </w:r>
      <w:r w:rsidR="00BC7ED4">
        <w:rPr>
          <w:rFonts w:ascii="Calibri" w:hAnsi="Calibri" w:cs="Calibri"/>
          <w:lang w:val="en-GB"/>
        </w:rPr>
        <w:t>,</w:t>
      </w:r>
      <w:r w:rsidR="000C4B54" w:rsidRPr="00616282">
        <w:rPr>
          <w:rFonts w:ascii="Calibri" w:hAnsi="Calibri" w:cs="Calibri"/>
          <w:lang w:val="en-GB"/>
        </w:rPr>
        <w:t xml:space="preserve"> the self-assessed exposures </w:t>
      </w:r>
      <w:r w:rsidR="00DD22D1" w:rsidRPr="00616282">
        <w:rPr>
          <w:rFonts w:ascii="Calibri" w:hAnsi="Calibri" w:cs="Calibri"/>
          <w:lang w:val="en-GB"/>
        </w:rPr>
        <w:t xml:space="preserve">to various types of physical risks. </w:t>
      </w:r>
    </w:p>
    <w:p w14:paraId="47457AC2" w14:textId="77777777" w:rsidR="00E21BE7" w:rsidRPr="00616282" w:rsidRDefault="00E21BE7" w:rsidP="00570039">
      <w:pPr>
        <w:rPr>
          <w:rFonts w:ascii="Calibri" w:hAnsi="Calibri" w:cs="Calibri"/>
          <w:lang w:val="en-GB"/>
        </w:rPr>
      </w:pPr>
    </w:p>
    <w:p w14:paraId="30E79DE8" w14:textId="304E838F" w:rsidR="00CF7814" w:rsidRPr="00616282" w:rsidRDefault="00394097">
      <w:pPr>
        <w:rPr>
          <w:rFonts w:ascii="Calibri" w:hAnsi="Calibri" w:cs="Calibri"/>
          <w:b/>
          <w:bCs/>
          <w:color w:val="ED7D31" w:themeColor="accent2"/>
          <w:lang w:val="en-GB"/>
        </w:rPr>
      </w:pPr>
      <w:bookmarkStart w:id="17" w:name="_Toc167079286"/>
      <w:bookmarkStart w:id="18" w:name="_Toc167079476"/>
      <w:bookmarkStart w:id="19" w:name="_Toc171908195"/>
      <w:r w:rsidRPr="00616282">
        <w:rPr>
          <w:rFonts w:ascii="Calibri" w:hAnsi="Calibri" w:cs="Calibri"/>
          <w:b/>
          <w:bCs/>
          <w:color w:val="ED7D31" w:themeColor="accent2"/>
          <w:lang w:val="en-GB"/>
        </w:rPr>
        <w:t xml:space="preserve">Table </w:t>
      </w:r>
      <w:r w:rsidRPr="00616282">
        <w:rPr>
          <w:rFonts w:ascii="Calibri" w:hAnsi="Calibri" w:cs="Calibri"/>
          <w:b/>
          <w:bCs/>
          <w:color w:val="ED7D31" w:themeColor="accent2"/>
          <w:lang w:val="en-GB"/>
        </w:rPr>
        <w:fldChar w:fldCharType="begin"/>
      </w:r>
      <w:r w:rsidRPr="00616282">
        <w:rPr>
          <w:rFonts w:ascii="Calibri" w:hAnsi="Calibri" w:cs="Calibri"/>
          <w:b/>
          <w:bCs/>
          <w:color w:val="ED7D31" w:themeColor="accent2"/>
          <w:lang w:val="en-GB"/>
        </w:rPr>
        <w:instrText xml:space="preserve"> SEQ Table \* ARABIC </w:instrText>
      </w:r>
      <w:r w:rsidRPr="00616282">
        <w:rPr>
          <w:rFonts w:ascii="Calibri" w:hAnsi="Calibri" w:cs="Calibri"/>
          <w:b/>
          <w:bCs/>
          <w:color w:val="ED7D31" w:themeColor="accent2"/>
          <w:lang w:val="en-GB"/>
        </w:rPr>
        <w:fldChar w:fldCharType="separate"/>
      </w:r>
      <w:r w:rsidR="0096670A">
        <w:rPr>
          <w:rFonts w:ascii="Calibri" w:hAnsi="Calibri" w:cs="Calibri"/>
          <w:b/>
          <w:bCs/>
          <w:noProof/>
          <w:color w:val="ED7D31" w:themeColor="accent2"/>
          <w:lang w:val="en-GB"/>
        </w:rPr>
        <w:t>1</w:t>
      </w:r>
      <w:r w:rsidRPr="00616282">
        <w:rPr>
          <w:rFonts w:ascii="Calibri" w:hAnsi="Calibri" w:cs="Calibri"/>
          <w:b/>
          <w:bCs/>
          <w:color w:val="ED7D31" w:themeColor="accent2"/>
          <w:lang w:val="en-GB"/>
        </w:rPr>
        <w:fldChar w:fldCharType="end"/>
      </w:r>
      <w:r w:rsidRPr="00616282">
        <w:rPr>
          <w:rFonts w:ascii="Calibri" w:hAnsi="Calibri" w:cs="Calibri"/>
          <w:b/>
          <w:bCs/>
          <w:color w:val="ED7D31" w:themeColor="accent2"/>
          <w:lang w:val="en-GB"/>
        </w:rPr>
        <w:t>: Physical Risk Exposure Reporting Template Part A</w:t>
      </w:r>
      <w:bookmarkEnd w:id="17"/>
      <w:bookmarkEnd w:id="18"/>
      <w:bookmarkEnd w:id="19"/>
    </w:p>
    <w:p w14:paraId="444609D1" w14:textId="3DF80200" w:rsidR="003F2D19" w:rsidRPr="00616282" w:rsidRDefault="003B4354" w:rsidP="007E6EB1">
      <w:pPr>
        <w:jc w:val="both"/>
        <w:rPr>
          <w:rFonts w:ascii="Calibri" w:hAnsi="Calibri" w:cs="Calibri"/>
        </w:rPr>
      </w:pPr>
      <w:r w:rsidRPr="003B4354">
        <w:rPr>
          <w:rFonts w:ascii="Calibri" w:hAnsi="Calibri" w:cs="Calibri"/>
          <w:noProof/>
        </w:rPr>
        <w:drawing>
          <wp:inline distT="0" distB="0" distL="0" distR="0" wp14:anchorId="1287DDA4" wp14:editId="71BFD530">
            <wp:extent cx="5729373" cy="2413000"/>
            <wp:effectExtent l="19050" t="19050" r="24130" b="25400"/>
            <wp:docPr id="85756987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7569871" name=""/>
                    <pic:cNvPicPr/>
                  </pic:nvPicPr>
                  <pic:blipFill rotWithShape="1">
                    <a:blip r:embed="rId14"/>
                    <a:srcRect r="69394"/>
                    <a:stretch/>
                  </pic:blipFill>
                  <pic:spPr bwMode="auto">
                    <a:xfrm>
                      <a:off x="0" y="0"/>
                      <a:ext cx="5779795" cy="2434236"/>
                    </a:xfrm>
                    <a:prstGeom prst="rect">
                      <a:avLst/>
                    </a:prstGeom>
                    <a:ln>
                      <a:solidFill>
                        <a:schemeClr val="tx1"/>
                      </a:solidFill>
                    </a:ln>
                    <a:effectLst>
                      <a:softEdge rad="0"/>
                    </a:effectLst>
                    <a:extLst>
                      <a:ext uri="{53640926-AAD7-44D8-BBD7-CCE9431645EC}">
                        <a14:shadowObscured xmlns:a14="http://schemas.microsoft.com/office/drawing/2010/main"/>
                      </a:ext>
                    </a:extLst>
                  </pic:spPr>
                </pic:pic>
              </a:graphicData>
            </a:graphic>
          </wp:inline>
        </w:drawing>
      </w:r>
    </w:p>
    <w:p w14:paraId="10924C59" w14:textId="7FED06E2" w:rsidR="005432CF" w:rsidRPr="00616282" w:rsidRDefault="00EE00B5" w:rsidP="00616282">
      <w:pPr>
        <w:jc w:val="both"/>
        <w:rPr>
          <w:rFonts w:ascii="Calibri" w:hAnsi="Calibri" w:cs="Calibri"/>
          <w:sz w:val="20"/>
          <w:szCs w:val="20"/>
          <w:lang w:val="en-GB"/>
        </w:rPr>
      </w:pPr>
      <w:r w:rsidRPr="00616282">
        <w:rPr>
          <w:rFonts w:ascii="Calibri" w:hAnsi="Calibri" w:cs="Calibri"/>
          <w:b/>
          <w:bCs/>
          <w:sz w:val="20"/>
          <w:szCs w:val="20"/>
          <w:lang w:val="en-GB"/>
        </w:rPr>
        <w:t>Source</w:t>
      </w:r>
      <w:r w:rsidR="004B433A" w:rsidRPr="00616282">
        <w:rPr>
          <w:rFonts w:ascii="Calibri" w:hAnsi="Calibri" w:cs="Calibri"/>
          <w:sz w:val="20"/>
          <w:szCs w:val="20"/>
          <w:lang w:val="en-GB"/>
        </w:rPr>
        <w:t xml:space="preserve">: </w:t>
      </w:r>
      <w:r w:rsidR="00C807D2">
        <w:rPr>
          <w:rFonts w:ascii="Calibri" w:hAnsi="Calibri" w:cs="Calibri"/>
          <w:sz w:val="20"/>
          <w:szCs w:val="20"/>
          <w:lang w:val="en-GB"/>
        </w:rPr>
        <w:t>Adapted from the European Banking Authority. 2022. Final report draft Implementing Technical Standards (ITS) on prudential disclosures on ESG.</w:t>
      </w:r>
    </w:p>
    <w:p w14:paraId="089DC264" w14:textId="355826EE" w:rsidR="00D35748" w:rsidRPr="00616282" w:rsidRDefault="00D35748">
      <w:pPr>
        <w:rPr>
          <w:rFonts w:ascii="Calibri" w:hAnsi="Calibri" w:cs="Calibri"/>
          <w:b/>
          <w:bCs/>
          <w:color w:val="ED7D31" w:themeColor="accent2"/>
          <w:lang w:val="en-GB"/>
        </w:rPr>
      </w:pPr>
      <w:bookmarkStart w:id="20" w:name="_Toc167079287"/>
      <w:bookmarkStart w:id="21" w:name="_Toc167079477"/>
      <w:bookmarkStart w:id="22" w:name="_Toc171908196"/>
      <w:r w:rsidRPr="00616282">
        <w:rPr>
          <w:rFonts w:ascii="Calibri" w:hAnsi="Calibri" w:cs="Calibri"/>
          <w:b/>
          <w:bCs/>
          <w:color w:val="ED7D31" w:themeColor="accent2"/>
          <w:lang w:val="en-GB"/>
        </w:rPr>
        <w:t xml:space="preserve">Table </w:t>
      </w:r>
      <w:r w:rsidRPr="00616282">
        <w:rPr>
          <w:rFonts w:ascii="Calibri" w:hAnsi="Calibri" w:cs="Calibri"/>
          <w:b/>
          <w:bCs/>
          <w:color w:val="ED7D31" w:themeColor="accent2"/>
          <w:lang w:val="en-GB"/>
        </w:rPr>
        <w:fldChar w:fldCharType="begin"/>
      </w:r>
      <w:r w:rsidRPr="00616282">
        <w:rPr>
          <w:rFonts w:ascii="Calibri" w:hAnsi="Calibri" w:cs="Calibri"/>
          <w:b/>
          <w:bCs/>
          <w:color w:val="ED7D31" w:themeColor="accent2"/>
          <w:lang w:val="en-GB"/>
        </w:rPr>
        <w:instrText xml:space="preserve"> SEQ Table \* ARABIC </w:instrText>
      </w:r>
      <w:r w:rsidRPr="00616282">
        <w:rPr>
          <w:rFonts w:ascii="Calibri" w:hAnsi="Calibri" w:cs="Calibri"/>
          <w:b/>
          <w:bCs/>
          <w:color w:val="ED7D31" w:themeColor="accent2"/>
          <w:lang w:val="en-GB"/>
        </w:rPr>
        <w:fldChar w:fldCharType="separate"/>
      </w:r>
      <w:r w:rsidR="0096670A">
        <w:rPr>
          <w:rFonts w:ascii="Calibri" w:hAnsi="Calibri" w:cs="Calibri"/>
          <w:b/>
          <w:bCs/>
          <w:noProof/>
          <w:color w:val="ED7D31" w:themeColor="accent2"/>
          <w:lang w:val="en-GB"/>
        </w:rPr>
        <w:t>2</w:t>
      </w:r>
      <w:r w:rsidRPr="00616282">
        <w:rPr>
          <w:rFonts w:ascii="Calibri" w:hAnsi="Calibri" w:cs="Calibri"/>
          <w:b/>
          <w:bCs/>
          <w:color w:val="ED7D31" w:themeColor="accent2"/>
          <w:lang w:val="en-GB"/>
        </w:rPr>
        <w:fldChar w:fldCharType="end"/>
      </w:r>
      <w:r w:rsidRPr="00616282">
        <w:rPr>
          <w:rFonts w:ascii="Calibri" w:hAnsi="Calibri" w:cs="Calibri"/>
          <w:b/>
          <w:bCs/>
          <w:color w:val="ED7D31" w:themeColor="accent2"/>
          <w:lang w:val="en-GB"/>
        </w:rPr>
        <w:t>: Physical Risk Exposure Reporting Template Part B</w:t>
      </w:r>
      <w:bookmarkEnd w:id="20"/>
      <w:bookmarkEnd w:id="21"/>
      <w:bookmarkEnd w:id="22"/>
    </w:p>
    <w:p w14:paraId="4FCBBC73" w14:textId="77777777" w:rsidR="00467B15" w:rsidRPr="00616282" w:rsidRDefault="00467B15">
      <w:pPr>
        <w:rPr>
          <w:rFonts w:ascii="Calibri" w:hAnsi="Calibri" w:cs="Calibri"/>
          <w:b/>
          <w:bCs/>
          <w:color w:val="ED7D31" w:themeColor="accent2"/>
          <w:lang w:val="en-GB"/>
        </w:rPr>
      </w:pPr>
    </w:p>
    <w:p w14:paraId="1544A4F2" w14:textId="07A69139" w:rsidR="00467B15" w:rsidRPr="00616282" w:rsidRDefault="00467B15">
      <w:pPr>
        <w:rPr>
          <w:rFonts w:ascii="Calibri" w:hAnsi="Calibri" w:cs="Calibri"/>
          <w:b/>
          <w:bCs/>
          <w:color w:val="ED7D31" w:themeColor="accent2"/>
          <w:lang w:val="en-GB"/>
        </w:rPr>
      </w:pPr>
      <w:r w:rsidRPr="00616282">
        <w:rPr>
          <w:rFonts w:ascii="Calibri" w:hAnsi="Calibri" w:cs="Calibri"/>
          <w:b/>
          <w:bCs/>
          <w:noProof/>
          <w:color w:val="ED7D31" w:themeColor="accent2"/>
          <w:lang w:val="en-GB"/>
        </w:rPr>
        <w:drawing>
          <wp:inline distT="0" distB="0" distL="0" distR="0" wp14:anchorId="1C1DDF46" wp14:editId="65DB7566">
            <wp:extent cx="5731510" cy="2082800"/>
            <wp:effectExtent l="0" t="0" r="0" b="0"/>
            <wp:docPr id="73971442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9714424" name=""/>
                    <pic:cNvPicPr/>
                  </pic:nvPicPr>
                  <pic:blipFill>
                    <a:blip r:embed="rId15"/>
                    <a:stretch>
                      <a:fillRect/>
                    </a:stretch>
                  </pic:blipFill>
                  <pic:spPr>
                    <a:xfrm>
                      <a:off x="0" y="0"/>
                      <a:ext cx="5731510" cy="2082800"/>
                    </a:xfrm>
                    <a:prstGeom prst="rect">
                      <a:avLst/>
                    </a:prstGeom>
                  </pic:spPr>
                </pic:pic>
              </a:graphicData>
            </a:graphic>
          </wp:inline>
        </w:drawing>
      </w:r>
    </w:p>
    <w:p w14:paraId="3F26E39E" w14:textId="30EC91B6" w:rsidR="00E262F8" w:rsidRPr="00616282" w:rsidRDefault="00E262F8" w:rsidP="00616282">
      <w:pPr>
        <w:rPr>
          <w:rFonts w:ascii="Calibri" w:hAnsi="Calibri" w:cs="Calibri"/>
          <w:sz w:val="20"/>
          <w:szCs w:val="20"/>
          <w:lang w:val="en-GB"/>
        </w:rPr>
      </w:pPr>
      <w:r w:rsidRPr="00616282">
        <w:rPr>
          <w:rFonts w:ascii="Calibri" w:hAnsi="Calibri" w:cs="Calibri"/>
          <w:b/>
          <w:bCs/>
          <w:sz w:val="20"/>
          <w:szCs w:val="20"/>
          <w:lang w:val="en-GB"/>
        </w:rPr>
        <w:t>Source</w:t>
      </w:r>
      <w:r w:rsidRPr="00616282">
        <w:rPr>
          <w:rFonts w:ascii="Calibri" w:hAnsi="Calibri" w:cs="Calibri"/>
          <w:sz w:val="20"/>
          <w:szCs w:val="20"/>
          <w:lang w:val="en-GB"/>
        </w:rPr>
        <w:t xml:space="preserve">: </w:t>
      </w:r>
      <w:r w:rsidR="00C807D2">
        <w:rPr>
          <w:rFonts w:ascii="Calibri" w:hAnsi="Calibri" w:cs="Calibri"/>
          <w:sz w:val="20"/>
          <w:szCs w:val="20"/>
          <w:lang w:val="en-GB"/>
        </w:rPr>
        <w:t>Adapted from the European Banking Authority. 2022. Final report draft Implementing Technical Standards (ITS) on prudential disclosures on ESG.</w:t>
      </w:r>
      <w:r w:rsidRPr="00616282">
        <w:rPr>
          <w:rFonts w:ascii="Calibri" w:hAnsi="Calibri" w:cs="Calibri"/>
          <w:sz w:val="20"/>
          <w:szCs w:val="20"/>
        </w:rPr>
        <w:t xml:space="preserve"> </w:t>
      </w:r>
    </w:p>
    <w:p w14:paraId="22C012A8" w14:textId="77777777" w:rsidR="00DD22D1" w:rsidRPr="00616282" w:rsidRDefault="00DD22D1" w:rsidP="00FB0DA0">
      <w:pPr>
        <w:rPr>
          <w:rFonts w:ascii="Calibri" w:hAnsi="Calibri" w:cs="Calibri"/>
        </w:rPr>
      </w:pPr>
    </w:p>
    <w:p w14:paraId="0E3C790F" w14:textId="4860B836" w:rsidR="00407841" w:rsidRPr="00616282" w:rsidRDefault="00DD22D1" w:rsidP="000B1781">
      <w:pPr>
        <w:jc w:val="both"/>
        <w:rPr>
          <w:rFonts w:ascii="Calibri" w:hAnsi="Calibri" w:cs="Calibri"/>
          <w:lang w:val="en-GB"/>
        </w:rPr>
      </w:pPr>
      <w:r w:rsidRPr="00616282">
        <w:rPr>
          <w:rFonts w:ascii="Calibri" w:hAnsi="Calibri" w:cs="Calibri"/>
          <w:lang w:val="en-GB"/>
        </w:rPr>
        <w:t xml:space="preserve">To aide in the self-assessment, CBK has modelled the </w:t>
      </w:r>
      <w:r w:rsidR="004A34BB" w:rsidRPr="00616282">
        <w:rPr>
          <w:rFonts w:ascii="Calibri" w:hAnsi="Calibri" w:cs="Calibri"/>
          <w:lang w:val="en-GB"/>
        </w:rPr>
        <w:t>dominant hazards across Kenya and provided a risk score.</w:t>
      </w:r>
      <w:r w:rsidR="00407841" w:rsidRPr="00616282">
        <w:rPr>
          <w:rFonts w:ascii="Calibri" w:hAnsi="Calibri" w:cs="Calibri"/>
          <w:lang w:val="en-GB"/>
        </w:rPr>
        <w:t xml:space="preserve"> These are found in the Templates.</w:t>
      </w:r>
    </w:p>
    <w:p w14:paraId="4193BE2F" w14:textId="77777777" w:rsidR="00407841" w:rsidRPr="00616282" w:rsidRDefault="00407841" w:rsidP="004B3749">
      <w:pPr>
        <w:pStyle w:val="ListParagraph"/>
        <w:contextualSpacing w:val="0"/>
        <w:outlineLvl w:val="0"/>
        <w:rPr>
          <w:rFonts w:ascii="Calibri" w:hAnsi="Calibri" w:cs="Calibri"/>
          <w:b/>
          <w:bCs/>
          <w:color w:val="ED7D31" w:themeColor="accent2"/>
          <w:lang w:val="en-GB"/>
        </w:rPr>
      </w:pPr>
    </w:p>
    <w:p w14:paraId="4CEC5743" w14:textId="41909824" w:rsidR="00C97DE7" w:rsidRPr="00616282" w:rsidRDefault="00C97DE7" w:rsidP="00616282">
      <w:pPr>
        <w:rPr>
          <w:rFonts w:ascii="Calibri" w:hAnsi="Calibri" w:cs="Calibri"/>
          <w:b/>
          <w:bCs/>
          <w:color w:val="ED7D31" w:themeColor="accent2"/>
          <w:lang w:val="en-GB"/>
        </w:rPr>
      </w:pPr>
      <w:bookmarkStart w:id="23" w:name="_Toc167079288"/>
      <w:bookmarkStart w:id="24" w:name="_Toc167079478"/>
      <w:bookmarkStart w:id="25" w:name="_Toc171908197"/>
      <w:r w:rsidRPr="00616282">
        <w:rPr>
          <w:rFonts w:ascii="Calibri" w:hAnsi="Calibri" w:cs="Calibri"/>
          <w:b/>
          <w:bCs/>
          <w:color w:val="ED7D31" w:themeColor="accent2"/>
          <w:lang w:val="en-GB"/>
        </w:rPr>
        <w:t xml:space="preserve">Table </w:t>
      </w:r>
      <w:r w:rsidRPr="00616282">
        <w:rPr>
          <w:rFonts w:ascii="Calibri" w:hAnsi="Calibri" w:cs="Calibri"/>
          <w:b/>
          <w:bCs/>
          <w:color w:val="ED7D31" w:themeColor="accent2"/>
          <w:lang w:val="en-GB"/>
        </w:rPr>
        <w:fldChar w:fldCharType="begin"/>
      </w:r>
      <w:r w:rsidRPr="00616282">
        <w:rPr>
          <w:rFonts w:ascii="Calibri" w:hAnsi="Calibri" w:cs="Calibri"/>
          <w:b/>
          <w:bCs/>
          <w:color w:val="ED7D31" w:themeColor="accent2"/>
          <w:lang w:val="en-GB"/>
        </w:rPr>
        <w:instrText xml:space="preserve"> SEQ Table \* ARABIC </w:instrText>
      </w:r>
      <w:r w:rsidRPr="00616282">
        <w:rPr>
          <w:rFonts w:ascii="Calibri" w:hAnsi="Calibri" w:cs="Calibri"/>
          <w:b/>
          <w:bCs/>
          <w:color w:val="ED7D31" w:themeColor="accent2"/>
          <w:lang w:val="en-GB"/>
        </w:rPr>
        <w:fldChar w:fldCharType="separate"/>
      </w:r>
      <w:r w:rsidR="0096670A">
        <w:rPr>
          <w:rFonts w:ascii="Calibri" w:hAnsi="Calibri" w:cs="Calibri"/>
          <w:b/>
          <w:bCs/>
          <w:noProof/>
          <w:color w:val="ED7D31" w:themeColor="accent2"/>
          <w:lang w:val="en-GB"/>
        </w:rPr>
        <w:t>3</w:t>
      </w:r>
      <w:r w:rsidRPr="00616282">
        <w:rPr>
          <w:rFonts w:ascii="Calibri" w:hAnsi="Calibri" w:cs="Calibri"/>
          <w:b/>
          <w:bCs/>
          <w:color w:val="ED7D31" w:themeColor="accent2"/>
          <w:lang w:val="en-GB"/>
        </w:rPr>
        <w:fldChar w:fldCharType="end"/>
      </w:r>
      <w:r w:rsidRPr="00616282">
        <w:rPr>
          <w:rFonts w:ascii="Calibri" w:hAnsi="Calibri" w:cs="Calibri"/>
          <w:b/>
          <w:bCs/>
          <w:color w:val="ED7D31" w:themeColor="accent2"/>
          <w:lang w:val="en-GB"/>
        </w:rPr>
        <w:t xml:space="preserve">: </w:t>
      </w:r>
      <w:r w:rsidR="00217248">
        <w:rPr>
          <w:rFonts w:ascii="Calibri" w:hAnsi="Calibri" w:cs="Calibri"/>
          <w:b/>
          <w:bCs/>
          <w:color w:val="ED7D31" w:themeColor="accent2"/>
          <w:lang w:val="en-GB"/>
        </w:rPr>
        <w:t>Tool for the identification of</w:t>
      </w:r>
      <w:r w:rsidRPr="00616282">
        <w:rPr>
          <w:rFonts w:ascii="Calibri" w:hAnsi="Calibri" w:cs="Calibri"/>
          <w:b/>
          <w:bCs/>
          <w:color w:val="ED7D31" w:themeColor="accent2"/>
          <w:lang w:val="en-GB"/>
        </w:rPr>
        <w:t xml:space="preserve"> hazards by county and risk level scores</w:t>
      </w:r>
      <w:bookmarkEnd w:id="23"/>
      <w:bookmarkEnd w:id="24"/>
      <w:bookmarkEnd w:id="25"/>
    </w:p>
    <w:p w14:paraId="3EC3E68E" w14:textId="474FB4E9" w:rsidR="00467B15" w:rsidRPr="00616282" w:rsidRDefault="00467B15" w:rsidP="00DD22D1">
      <w:pPr>
        <w:jc w:val="both"/>
        <w:rPr>
          <w:rFonts w:ascii="Calibri" w:hAnsi="Calibri" w:cs="Calibri"/>
          <w:noProof/>
          <w14:ligatures w14:val="standardContextual"/>
        </w:rPr>
      </w:pPr>
    </w:p>
    <w:p w14:paraId="39E3F18B" w14:textId="62D5CA6F" w:rsidR="00407841" w:rsidRPr="00616282" w:rsidRDefault="00467B15" w:rsidP="00DD22D1">
      <w:pPr>
        <w:jc w:val="both"/>
        <w:rPr>
          <w:rFonts w:ascii="Calibri" w:hAnsi="Calibri" w:cs="Calibri"/>
          <w:lang w:val="en-GB"/>
        </w:rPr>
      </w:pPr>
      <w:r w:rsidRPr="00616282">
        <w:rPr>
          <w:rFonts w:ascii="Calibri" w:hAnsi="Calibri" w:cs="Calibri"/>
          <w:noProof/>
          <w14:ligatures w14:val="standardContextual"/>
        </w:rPr>
        <w:drawing>
          <wp:inline distT="0" distB="0" distL="0" distR="0" wp14:anchorId="5C270BBF" wp14:editId="26B87294">
            <wp:extent cx="5731510" cy="2343785"/>
            <wp:effectExtent l="0" t="0" r="0" b="5715"/>
            <wp:docPr id="114343026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3430265" name=""/>
                    <pic:cNvPicPr/>
                  </pic:nvPicPr>
                  <pic:blipFill>
                    <a:blip r:embed="rId16"/>
                    <a:stretch>
                      <a:fillRect/>
                    </a:stretch>
                  </pic:blipFill>
                  <pic:spPr>
                    <a:xfrm>
                      <a:off x="0" y="0"/>
                      <a:ext cx="5731510" cy="2343785"/>
                    </a:xfrm>
                    <a:prstGeom prst="rect">
                      <a:avLst/>
                    </a:prstGeom>
                  </pic:spPr>
                </pic:pic>
              </a:graphicData>
            </a:graphic>
          </wp:inline>
        </w:drawing>
      </w:r>
    </w:p>
    <w:p w14:paraId="369C2F49" w14:textId="77777777" w:rsidR="00407841" w:rsidRDefault="00407841" w:rsidP="00DD22D1">
      <w:pPr>
        <w:jc w:val="both"/>
        <w:rPr>
          <w:rFonts w:ascii="Calibri" w:hAnsi="Calibri" w:cs="Calibri"/>
          <w:lang w:val="en-GB"/>
        </w:rPr>
      </w:pPr>
    </w:p>
    <w:p w14:paraId="626FF6C7" w14:textId="3A42DAEB" w:rsidR="009B19B2" w:rsidRPr="009B19B2" w:rsidRDefault="009B19B2" w:rsidP="009B19B2">
      <w:pPr>
        <w:jc w:val="both"/>
        <w:rPr>
          <w:rFonts w:ascii="Calibri" w:hAnsi="Calibri" w:cs="Calibri"/>
        </w:rPr>
      </w:pPr>
      <w:r w:rsidRPr="009B19B2">
        <w:rPr>
          <w:rFonts w:ascii="Calibri" w:hAnsi="Calibri" w:cs="Calibri"/>
        </w:rPr>
        <w:t>The table provides climate risk levels for various counties in Kenya, covering heat stress, flooding, wildfires, and landslides across different time periods (1980-2020, 2020-2040, and 2040-2060).</w:t>
      </w:r>
      <w:r>
        <w:rPr>
          <w:rFonts w:ascii="Calibri" w:hAnsi="Calibri" w:cs="Calibri"/>
        </w:rPr>
        <w:t xml:space="preserve"> First, </w:t>
      </w:r>
      <w:r w:rsidRPr="009B19B2">
        <w:rPr>
          <w:rFonts w:ascii="Calibri" w:hAnsi="Calibri" w:cs="Calibri"/>
        </w:rPr>
        <w:t>Identify the County: Locate the county you are interested in using the "County" column.</w:t>
      </w:r>
      <w:r>
        <w:rPr>
          <w:rFonts w:ascii="Calibri" w:hAnsi="Calibri" w:cs="Calibri"/>
        </w:rPr>
        <w:t xml:space="preserve"> Second. </w:t>
      </w:r>
      <w:r w:rsidRPr="009B19B2">
        <w:rPr>
          <w:rFonts w:ascii="Calibri" w:hAnsi="Calibri" w:cs="Calibri"/>
        </w:rPr>
        <w:t>Check Risk Categories: Look at the columns labeled for different risks: Heat Stress, Flooding, Wildfires, and Landslides. Each risk type has data for three time periods.</w:t>
      </w:r>
    </w:p>
    <w:p w14:paraId="4C296645" w14:textId="7672DAC0" w:rsidR="009B19B2" w:rsidRPr="00CB4FD6" w:rsidRDefault="009B19B2" w:rsidP="009B19B2">
      <w:pPr>
        <w:jc w:val="both"/>
        <w:rPr>
          <w:rFonts w:ascii="Calibri" w:hAnsi="Calibri" w:cs="Calibri"/>
        </w:rPr>
      </w:pPr>
      <w:r>
        <w:rPr>
          <w:rFonts w:ascii="Calibri" w:hAnsi="Calibri" w:cs="Calibri"/>
        </w:rPr>
        <w:t>Third</w:t>
      </w:r>
      <w:r w:rsidRPr="009B19B2">
        <w:rPr>
          <w:rFonts w:ascii="Calibri" w:hAnsi="Calibri" w:cs="Calibri"/>
        </w:rPr>
        <w:t>. Understand Risk Levels: Risk levels range from 1 to 5, with 5 being the highest risk. Compare the risk levels across different time periods to see how risks change over time.</w:t>
      </w:r>
    </w:p>
    <w:p w14:paraId="5B45F38C" w14:textId="77777777" w:rsidR="009B19B2" w:rsidRPr="00616282" w:rsidRDefault="009B19B2" w:rsidP="00DD22D1">
      <w:pPr>
        <w:jc w:val="both"/>
        <w:rPr>
          <w:rFonts w:ascii="Calibri" w:hAnsi="Calibri" w:cs="Calibri"/>
          <w:lang w:val="en-GB"/>
        </w:rPr>
      </w:pPr>
    </w:p>
    <w:p w14:paraId="3D987286" w14:textId="2138B3B2" w:rsidR="00DD22D1" w:rsidRPr="00616282" w:rsidRDefault="00CD0D45" w:rsidP="00DD22D1">
      <w:pPr>
        <w:jc w:val="both"/>
        <w:rPr>
          <w:rFonts w:ascii="Calibri" w:hAnsi="Calibri" w:cs="Calibri"/>
          <w:lang w:val="en-GB"/>
        </w:rPr>
      </w:pPr>
      <w:r w:rsidRPr="00616282">
        <w:rPr>
          <w:rFonts w:ascii="Calibri" w:hAnsi="Calibri" w:cs="Calibri"/>
          <w:lang w:val="en-GB"/>
        </w:rPr>
        <w:t>The risk scores provided are based on</w:t>
      </w:r>
      <w:r w:rsidR="00AD0017" w:rsidRPr="00616282">
        <w:rPr>
          <w:rFonts w:ascii="Calibri" w:hAnsi="Calibri" w:cs="Calibri"/>
          <w:lang w:val="en-GB"/>
        </w:rPr>
        <w:t xml:space="preserve"> Representative Concentration Pathway</w:t>
      </w:r>
      <w:r w:rsidRPr="00616282">
        <w:rPr>
          <w:rFonts w:ascii="Calibri" w:hAnsi="Calibri" w:cs="Calibri"/>
          <w:lang w:val="en-GB"/>
        </w:rPr>
        <w:t xml:space="preserve"> </w:t>
      </w:r>
      <w:r w:rsidR="00AD0017" w:rsidRPr="00616282">
        <w:rPr>
          <w:rFonts w:ascii="Calibri" w:hAnsi="Calibri" w:cs="Calibri"/>
          <w:lang w:val="en-GB"/>
        </w:rPr>
        <w:t>(“</w:t>
      </w:r>
      <w:r w:rsidR="00DD22D1" w:rsidRPr="00616282">
        <w:rPr>
          <w:rFonts w:ascii="Calibri" w:hAnsi="Calibri" w:cs="Calibri"/>
          <w:lang w:val="en-GB"/>
        </w:rPr>
        <w:t>RCP</w:t>
      </w:r>
      <w:r w:rsidR="00AD0017" w:rsidRPr="00616282">
        <w:rPr>
          <w:rFonts w:ascii="Calibri" w:hAnsi="Calibri" w:cs="Calibri"/>
          <w:lang w:val="en-GB"/>
        </w:rPr>
        <w:t>”)</w:t>
      </w:r>
      <w:r w:rsidR="00275544" w:rsidRPr="00616282">
        <w:rPr>
          <w:rFonts w:ascii="Calibri" w:hAnsi="Calibri" w:cs="Calibri"/>
          <w:lang w:val="en-GB"/>
        </w:rPr>
        <w:t xml:space="preserve"> </w:t>
      </w:r>
      <w:r w:rsidR="00DD22D1" w:rsidRPr="00616282">
        <w:rPr>
          <w:rFonts w:ascii="Calibri" w:hAnsi="Calibri" w:cs="Calibri"/>
          <w:lang w:val="en-GB"/>
        </w:rPr>
        <w:t xml:space="preserve">6.0 </w:t>
      </w:r>
      <w:r w:rsidR="00275544" w:rsidRPr="00616282">
        <w:rPr>
          <w:rFonts w:ascii="Calibri" w:hAnsi="Calibri" w:cs="Calibri"/>
          <w:lang w:val="en-GB"/>
        </w:rPr>
        <w:t xml:space="preserve">– which </w:t>
      </w:r>
      <w:r w:rsidR="00DD22D1" w:rsidRPr="00616282">
        <w:rPr>
          <w:rFonts w:ascii="Calibri" w:hAnsi="Calibri" w:cs="Calibri"/>
          <w:lang w:val="en-GB"/>
        </w:rPr>
        <w:t xml:space="preserve">is one of the two intermediate stabilization pathways (higher medium) among the four </w:t>
      </w:r>
      <w:r w:rsidR="00AD0017" w:rsidRPr="00616282">
        <w:rPr>
          <w:rFonts w:ascii="Calibri" w:hAnsi="Calibri" w:cs="Calibri"/>
          <w:lang w:val="en-GB"/>
        </w:rPr>
        <w:t>RCPs</w:t>
      </w:r>
      <w:r w:rsidR="00DD22D1" w:rsidRPr="00616282">
        <w:rPr>
          <w:rFonts w:ascii="Calibri" w:hAnsi="Calibri" w:cs="Calibri"/>
          <w:lang w:val="en-GB"/>
        </w:rPr>
        <w:t xml:space="preserve">, </w:t>
      </w:r>
      <w:r w:rsidR="00457BC1">
        <w:rPr>
          <w:rFonts w:ascii="Calibri" w:hAnsi="Calibri" w:cs="Calibri"/>
          <w:lang w:val="en-GB"/>
        </w:rPr>
        <w:t xml:space="preserve">with </w:t>
      </w:r>
      <w:r w:rsidR="00DD22D1" w:rsidRPr="00616282">
        <w:rPr>
          <w:rFonts w:ascii="Calibri" w:hAnsi="Calibri" w:cs="Calibri"/>
          <w:lang w:val="en-GB"/>
        </w:rPr>
        <w:t>the lower intermediate stabilization pathway being RCP4.5.</w:t>
      </w:r>
      <w:r w:rsidR="009F108F" w:rsidRPr="00616282">
        <w:rPr>
          <w:rStyle w:val="FootnoteReference"/>
          <w:rFonts w:ascii="Calibri" w:hAnsi="Calibri" w:cs="Calibri"/>
          <w:lang w:val="en-GB"/>
        </w:rPr>
        <w:footnoteReference w:id="7"/>
      </w:r>
      <w:r w:rsidR="00DD22D1" w:rsidRPr="00616282">
        <w:rPr>
          <w:rFonts w:ascii="Calibri" w:hAnsi="Calibri" w:cs="Calibri"/>
          <w:lang w:val="en-GB"/>
        </w:rPr>
        <w:t xml:space="preserve"> </w:t>
      </w:r>
    </w:p>
    <w:p w14:paraId="7501D603" w14:textId="60741324" w:rsidR="009F108F" w:rsidRPr="00616282" w:rsidRDefault="009F108F" w:rsidP="00B720D9">
      <w:pPr>
        <w:pStyle w:val="Heading2"/>
        <w:rPr>
          <w:rFonts w:ascii="Calibri" w:hAnsi="Calibri" w:cs="Calibri"/>
          <w:lang w:val="en-GB"/>
        </w:rPr>
      </w:pPr>
      <w:bookmarkStart w:id="26" w:name="_Toc171908182"/>
      <w:r w:rsidRPr="00616282">
        <w:rPr>
          <w:rFonts w:ascii="Calibri" w:hAnsi="Calibri" w:cs="Calibri"/>
          <w:lang w:val="en-GB"/>
        </w:rPr>
        <w:lastRenderedPageBreak/>
        <w:t>Transition Risk Exposures</w:t>
      </w:r>
      <w:bookmarkEnd w:id="26"/>
    </w:p>
    <w:p w14:paraId="61A59527" w14:textId="77777777" w:rsidR="00B720D9" w:rsidRPr="00616282" w:rsidRDefault="00B720D9" w:rsidP="004B3749">
      <w:pPr>
        <w:jc w:val="both"/>
        <w:rPr>
          <w:rFonts w:ascii="Calibri" w:hAnsi="Calibri" w:cs="Calibri"/>
          <w:lang w:val="en-GB"/>
        </w:rPr>
      </w:pPr>
    </w:p>
    <w:p w14:paraId="32B8F374" w14:textId="07531270" w:rsidR="00B33E99" w:rsidRPr="00616282" w:rsidRDefault="002B6BDA" w:rsidP="004B3749">
      <w:pPr>
        <w:jc w:val="both"/>
        <w:rPr>
          <w:rFonts w:ascii="Calibri" w:hAnsi="Calibri" w:cs="Calibri"/>
          <w:lang w:val="en-GB"/>
        </w:rPr>
      </w:pPr>
      <w:r w:rsidRPr="00616282">
        <w:rPr>
          <w:rFonts w:ascii="Calibri" w:hAnsi="Calibri" w:cs="Calibri"/>
          <w:lang w:val="en-GB"/>
        </w:rPr>
        <w:t xml:space="preserve">In line with leading international supervisory </w:t>
      </w:r>
      <w:r w:rsidR="00CA00D2" w:rsidRPr="00616282">
        <w:rPr>
          <w:rFonts w:ascii="Calibri" w:hAnsi="Calibri" w:cs="Calibri"/>
          <w:lang w:val="en-GB"/>
        </w:rPr>
        <w:t>authorities’ views on transition risk</w:t>
      </w:r>
      <w:r w:rsidR="00120492">
        <w:rPr>
          <w:rFonts w:ascii="Calibri" w:hAnsi="Calibri" w:cs="Calibri"/>
          <w:lang w:val="en-GB"/>
        </w:rPr>
        <w:t>,</w:t>
      </w:r>
      <w:r w:rsidR="00CA00D2" w:rsidRPr="00616282">
        <w:rPr>
          <w:rFonts w:ascii="Calibri" w:hAnsi="Calibri" w:cs="Calibri"/>
          <w:lang w:val="en-GB"/>
        </w:rPr>
        <w:t xml:space="preserve"> the CBK is requesting </w:t>
      </w:r>
      <w:r w:rsidR="00120492">
        <w:rPr>
          <w:rFonts w:ascii="Calibri" w:hAnsi="Calibri" w:cs="Calibri"/>
          <w:lang w:val="en-GB"/>
        </w:rPr>
        <w:t xml:space="preserve">for disclosure of </w:t>
      </w:r>
      <w:r w:rsidR="00865E7E" w:rsidRPr="00616282">
        <w:rPr>
          <w:rFonts w:ascii="Calibri" w:hAnsi="Calibri" w:cs="Calibri"/>
          <w:lang w:val="en-GB"/>
        </w:rPr>
        <w:t xml:space="preserve">gross amounts to sectors deemed to be most </w:t>
      </w:r>
      <w:r w:rsidR="00E63157" w:rsidRPr="00616282">
        <w:rPr>
          <w:rFonts w:ascii="Calibri" w:hAnsi="Calibri" w:cs="Calibri"/>
          <w:lang w:val="en-GB"/>
        </w:rPr>
        <w:t>at-risk to the low carbon development pathway of Kenya and globally. These mostly include high</w:t>
      </w:r>
      <w:r w:rsidR="00120492">
        <w:rPr>
          <w:rFonts w:ascii="Calibri" w:hAnsi="Calibri" w:cs="Calibri"/>
          <w:lang w:val="en-GB"/>
        </w:rPr>
        <w:t>-</w:t>
      </w:r>
      <w:r w:rsidR="00E63157" w:rsidRPr="00616282">
        <w:rPr>
          <w:rFonts w:ascii="Calibri" w:hAnsi="Calibri" w:cs="Calibri"/>
          <w:lang w:val="en-GB"/>
        </w:rPr>
        <w:t>energy</w:t>
      </w:r>
      <w:r w:rsidR="00120492">
        <w:rPr>
          <w:rFonts w:ascii="Calibri" w:hAnsi="Calibri" w:cs="Calibri"/>
          <w:lang w:val="en-GB"/>
        </w:rPr>
        <w:t>-</w:t>
      </w:r>
      <w:r w:rsidR="00E63157" w:rsidRPr="00616282">
        <w:rPr>
          <w:rFonts w:ascii="Calibri" w:hAnsi="Calibri" w:cs="Calibri"/>
          <w:lang w:val="en-GB"/>
        </w:rPr>
        <w:t>intensive and therefore emission</w:t>
      </w:r>
      <w:r w:rsidR="00120492">
        <w:rPr>
          <w:rFonts w:ascii="Calibri" w:hAnsi="Calibri" w:cs="Calibri"/>
          <w:lang w:val="en-GB"/>
        </w:rPr>
        <w:t>-</w:t>
      </w:r>
      <w:r w:rsidR="00E63157" w:rsidRPr="00616282">
        <w:rPr>
          <w:rFonts w:ascii="Calibri" w:hAnsi="Calibri" w:cs="Calibri"/>
          <w:lang w:val="en-GB"/>
        </w:rPr>
        <w:t>intensive sectors</w:t>
      </w:r>
      <w:r w:rsidR="00D8687F" w:rsidRPr="00616282">
        <w:rPr>
          <w:rFonts w:ascii="Calibri" w:hAnsi="Calibri" w:cs="Calibri"/>
          <w:lang w:val="en-GB"/>
        </w:rPr>
        <w:t xml:space="preserve">. CBK is simultaneously requesting the so-called “green” allocations </w:t>
      </w:r>
      <w:r w:rsidR="00634C84" w:rsidRPr="00616282">
        <w:rPr>
          <w:rFonts w:ascii="Calibri" w:hAnsi="Calibri" w:cs="Calibri"/>
          <w:lang w:val="en-GB"/>
        </w:rPr>
        <w:t xml:space="preserve">within these sectors to ascertain net </w:t>
      </w:r>
      <w:r w:rsidR="00383F03" w:rsidRPr="00616282">
        <w:rPr>
          <w:rFonts w:ascii="Calibri" w:hAnsi="Calibri" w:cs="Calibri"/>
          <w:lang w:val="en-GB"/>
        </w:rPr>
        <w:t>unmitigated exposures to emission</w:t>
      </w:r>
      <w:r w:rsidR="00120492">
        <w:rPr>
          <w:rFonts w:ascii="Calibri" w:hAnsi="Calibri" w:cs="Calibri"/>
          <w:lang w:val="en-GB"/>
        </w:rPr>
        <w:t>-</w:t>
      </w:r>
      <w:r w:rsidR="00383F03" w:rsidRPr="00616282">
        <w:rPr>
          <w:rFonts w:ascii="Calibri" w:hAnsi="Calibri" w:cs="Calibri"/>
          <w:lang w:val="en-GB"/>
        </w:rPr>
        <w:t>intensive sectors.</w:t>
      </w:r>
    </w:p>
    <w:p w14:paraId="2D2494E3" w14:textId="77777777" w:rsidR="00AB4951" w:rsidRPr="00616282" w:rsidRDefault="00AB4951" w:rsidP="00FB0DA0">
      <w:pPr>
        <w:rPr>
          <w:rFonts w:ascii="Calibri" w:hAnsi="Calibri" w:cs="Calibri"/>
        </w:rPr>
      </w:pPr>
    </w:p>
    <w:p w14:paraId="15D32024" w14:textId="71A4B41D" w:rsidR="00AB4951" w:rsidRPr="00616282" w:rsidRDefault="00AB4951" w:rsidP="00AB4951">
      <w:pPr>
        <w:jc w:val="both"/>
        <w:rPr>
          <w:rFonts w:ascii="Calibri" w:hAnsi="Calibri" w:cs="Calibri"/>
          <w:lang w:val="en-GB"/>
        </w:rPr>
      </w:pPr>
      <w:r w:rsidRPr="00616282">
        <w:rPr>
          <w:rFonts w:ascii="Calibri" w:hAnsi="Calibri" w:cs="Calibri"/>
          <w:lang w:val="en-GB"/>
        </w:rPr>
        <w:t xml:space="preserve">In Transition Risk Exposures </w:t>
      </w:r>
      <w:r w:rsidR="004D0C64" w:rsidRPr="00616282">
        <w:rPr>
          <w:rFonts w:ascii="Calibri" w:hAnsi="Calibri" w:cs="Calibri"/>
          <w:lang w:val="en-GB"/>
        </w:rPr>
        <w:t>Part,</w:t>
      </w:r>
      <w:r w:rsidRPr="00616282">
        <w:rPr>
          <w:rFonts w:ascii="Calibri" w:hAnsi="Calibri" w:cs="Calibri"/>
          <w:lang w:val="en-GB"/>
        </w:rPr>
        <w:t xml:space="preserve"> A</w:t>
      </w:r>
      <w:r w:rsidR="009B6886">
        <w:rPr>
          <w:rFonts w:ascii="Calibri" w:hAnsi="Calibri" w:cs="Calibri"/>
          <w:lang w:val="en-GB"/>
        </w:rPr>
        <w:t xml:space="preserve">, </w:t>
      </w:r>
      <w:r w:rsidR="00120492">
        <w:rPr>
          <w:rFonts w:ascii="Calibri" w:hAnsi="Calibri" w:cs="Calibri"/>
          <w:lang w:val="en-GB"/>
        </w:rPr>
        <w:t xml:space="preserve">the </w:t>
      </w:r>
      <w:r w:rsidRPr="00616282">
        <w:rPr>
          <w:rFonts w:ascii="Calibri" w:hAnsi="Calibri" w:cs="Calibri"/>
          <w:lang w:val="en-GB"/>
        </w:rPr>
        <w:t xml:space="preserve">CBK requests the total gross outstanding amounts by sector followed by amounts of which are aligned by the bank to a green taxonomy including the recently published </w:t>
      </w:r>
      <w:r w:rsidR="00664062" w:rsidRPr="00664062">
        <w:rPr>
          <w:rFonts w:ascii="Calibri" w:hAnsi="Calibri" w:cs="Calibri"/>
          <w:lang w:val="en-GB"/>
        </w:rPr>
        <w:t xml:space="preserve">Kenya Green Finance </w:t>
      </w:r>
      <w:proofErr w:type="gramStart"/>
      <w:r w:rsidR="00664062" w:rsidRPr="00664062">
        <w:rPr>
          <w:rFonts w:ascii="Calibri" w:hAnsi="Calibri" w:cs="Calibri"/>
          <w:lang w:val="en-GB"/>
        </w:rPr>
        <w:t>Taxonomy</w:t>
      </w:r>
      <w:r w:rsidR="00120492">
        <w:rPr>
          <w:rFonts w:ascii="Calibri" w:hAnsi="Calibri" w:cs="Calibri"/>
          <w:lang w:val="en-GB"/>
        </w:rPr>
        <w:t>.</w:t>
      </w:r>
      <w:r w:rsidRPr="00616282">
        <w:rPr>
          <w:rFonts w:ascii="Calibri" w:hAnsi="Calibri" w:cs="Calibri"/>
          <w:lang w:val="en-GB"/>
        </w:rPr>
        <w:t>.</w:t>
      </w:r>
      <w:proofErr w:type="gramEnd"/>
      <w:r w:rsidRPr="00616282">
        <w:rPr>
          <w:rFonts w:ascii="Calibri" w:hAnsi="Calibri" w:cs="Calibri"/>
          <w:lang w:val="en-GB"/>
        </w:rPr>
        <w:t xml:space="preserve"> </w:t>
      </w:r>
    </w:p>
    <w:p w14:paraId="4C633AC9" w14:textId="77777777" w:rsidR="00AB4951" w:rsidRPr="00616282" w:rsidRDefault="00AB4951" w:rsidP="00FB0DA0">
      <w:pPr>
        <w:rPr>
          <w:rFonts w:ascii="Calibri" w:hAnsi="Calibri" w:cs="Calibri"/>
        </w:rPr>
      </w:pPr>
    </w:p>
    <w:p w14:paraId="0FCE9567" w14:textId="5C0D9221" w:rsidR="0088123A" w:rsidRPr="00616282" w:rsidRDefault="0088123A">
      <w:pPr>
        <w:rPr>
          <w:rFonts w:ascii="Calibri" w:hAnsi="Calibri" w:cs="Calibri"/>
          <w:b/>
          <w:bCs/>
          <w:color w:val="ED7D31" w:themeColor="accent2"/>
          <w:lang w:val="en-GB"/>
        </w:rPr>
      </w:pPr>
      <w:bookmarkStart w:id="27" w:name="_Toc167079289"/>
      <w:bookmarkStart w:id="28" w:name="_Toc167079479"/>
      <w:bookmarkStart w:id="29" w:name="_Toc171908198"/>
      <w:r w:rsidRPr="00616282">
        <w:rPr>
          <w:rFonts w:ascii="Calibri" w:hAnsi="Calibri" w:cs="Calibri"/>
          <w:b/>
          <w:bCs/>
          <w:color w:val="ED7D31" w:themeColor="accent2"/>
          <w:lang w:val="en-GB"/>
        </w:rPr>
        <w:t xml:space="preserve">Table </w:t>
      </w:r>
      <w:r w:rsidRPr="00616282">
        <w:rPr>
          <w:rFonts w:ascii="Calibri" w:hAnsi="Calibri" w:cs="Calibri"/>
          <w:b/>
          <w:bCs/>
          <w:color w:val="ED7D31" w:themeColor="accent2"/>
          <w:lang w:val="en-GB"/>
        </w:rPr>
        <w:fldChar w:fldCharType="begin"/>
      </w:r>
      <w:r w:rsidRPr="00616282">
        <w:rPr>
          <w:rFonts w:ascii="Calibri" w:hAnsi="Calibri" w:cs="Calibri"/>
          <w:b/>
          <w:bCs/>
          <w:color w:val="ED7D31" w:themeColor="accent2"/>
          <w:lang w:val="en-GB"/>
        </w:rPr>
        <w:instrText xml:space="preserve"> SEQ Table \* ARABIC </w:instrText>
      </w:r>
      <w:r w:rsidRPr="00616282">
        <w:rPr>
          <w:rFonts w:ascii="Calibri" w:hAnsi="Calibri" w:cs="Calibri"/>
          <w:b/>
          <w:bCs/>
          <w:color w:val="ED7D31" w:themeColor="accent2"/>
          <w:lang w:val="en-GB"/>
        </w:rPr>
        <w:fldChar w:fldCharType="separate"/>
      </w:r>
      <w:r w:rsidR="0096670A">
        <w:rPr>
          <w:rFonts w:ascii="Calibri" w:hAnsi="Calibri" w:cs="Calibri"/>
          <w:b/>
          <w:bCs/>
          <w:noProof/>
          <w:color w:val="ED7D31" w:themeColor="accent2"/>
          <w:lang w:val="en-GB"/>
        </w:rPr>
        <w:t>4</w:t>
      </w:r>
      <w:r w:rsidRPr="00616282">
        <w:rPr>
          <w:rFonts w:ascii="Calibri" w:hAnsi="Calibri" w:cs="Calibri"/>
          <w:b/>
          <w:bCs/>
          <w:color w:val="ED7D31" w:themeColor="accent2"/>
          <w:lang w:val="en-GB"/>
        </w:rPr>
        <w:fldChar w:fldCharType="end"/>
      </w:r>
      <w:r w:rsidRPr="00616282">
        <w:rPr>
          <w:rFonts w:ascii="Calibri" w:hAnsi="Calibri" w:cs="Calibri"/>
          <w:b/>
          <w:bCs/>
          <w:color w:val="ED7D31" w:themeColor="accent2"/>
          <w:lang w:val="en-GB"/>
        </w:rPr>
        <w:t>: Transition Risk Exposure Reporting Template Part A</w:t>
      </w:r>
      <w:bookmarkEnd w:id="27"/>
      <w:bookmarkEnd w:id="28"/>
      <w:bookmarkEnd w:id="29"/>
    </w:p>
    <w:p w14:paraId="11788B59" w14:textId="569EB265" w:rsidR="00553E81" w:rsidRPr="00616282" w:rsidRDefault="00F56FA7" w:rsidP="00FB0DA0">
      <w:pPr>
        <w:rPr>
          <w:rFonts w:ascii="Calibri" w:hAnsi="Calibri" w:cs="Calibri"/>
        </w:rPr>
      </w:pPr>
      <w:r w:rsidRPr="00F56FA7">
        <w:rPr>
          <w:rFonts w:ascii="Calibri" w:hAnsi="Calibri" w:cs="Calibri"/>
          <w:noProof/>
        </w:rPr>
        <w:drawing>
          <wp:inline distT="0" distB="0" distL="0" distR="0" wp14:anchorId="771F3689" wp14:editId="43335CF6">
            <wp:extent cx="6353524" cy="2857500"/>
            <wp:effectExtent l="0" t="0" r="9525" b="0"/>
            <wp:docPr id="164594825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5948253" name=""/>
                    <pic:cNvPicPr/>
                  </pic:nvPicPr>
                  <pic:blipFill>
                    <a:blip r:embed="rId17"/>
                    <a:stretch>
                      <a:fillRect/>
                    </a:stretch>
                  </pic:blipFill>
                  <pic:spPr>
                    <a:xfrm>
                      <a:off x="0" y="0"/>
                      <a:ext cx="6354455" cy="2857919"/>
                    </a:xfrm>
                    <a:prstGeom prst="rect">
                      <a:avLst/>
                    </a:prstGeom>
                  </pic:spPr>
                </pic:pic>
              </a:graphicData>
            </a:graphic>
          </wp:inline>
        </w:drawing>
      </w:r>
    </w:p>
    <w:p w14:paraId="714067D7" w14:textId="745D1538" w:rsidR="00A74BD5" w:rsidRPr="00616282" w:rsidRDefault="00A74BD5" w:rsidP="00A74BD5">
      <w:pPr>
        <w:jc w:val="both"/>
        <w:rPr>
          <w:rFonts w:ascii="Calibri" w:hAnsi="Calibri" w:cs="Calibri"/>
          <w:sz w:val="20"/>
          <w:szCs w:val="20"/>
          <w:lang w:val="en-GB"/>
        </w:rPr>
      </w:pPr>
      <w:r w:rsidRPr="00616282">
        <w:rPr>
          <w:rFonts w:ascii="Calibri" w:hAnsi="Calibri" w:cs="Calibri"/>
          <w:b/>
          <w:bCs/>
          <w:sz w:val="20"/>
          <w:szCs w:val="20"/>
          <w:lang w:val="en-GB"/>
        </w:rPr>
        <w:t>Source</w:t>
      </w:r>
      <w:r w:rsidRPr="00616282">
        <w:rPr>
          <w:rFonts w:ascii="Calibri" w:hAnsi="Calibri" w:cs="Calibri"/>
          <w:sz w:val="20"/>
          <w:szCs w:val="20"/>
          <w:lang w:val="en-GB"/>
        </w:rPr>
        <w:t xml:space="preserve">: </w:t>
      </w:r>
      <w:r w:rsidR="00C807D2">
        <w:rPr>
          <w:rFonts w:ascii="Calibri" w:hAnsi="Calibri" w:cs="Calibri"/>
          <w:sz w:val="20"/>
          <w:szCs w:val="20"/>
          <w:lang w:val="en-GB"/>
        </w:rPr>
        <w:t xml:space="preserve">Adapted from the European Banking Authority. 2022. Final report draft Implementing Technical Standards (ITS) on prudential disclosures on </w:t>
      </w:r>
      <w:proofErr w:type="gramStart"/>
      <w:r w:rsidR="00C807D2">
        <w:rPr>
          <w:rFonts w:ascii="Calibri" w:hAnsi="Calibri" w:cs="Calibri"/>
          <w:sz w:val="20"/>
          <w:szCs w:val="20"/>
          <w:lang w:val="en-GB"/>
        </w:rPr>
        <w:t>ESG.</w:t>
      </w:r>
      <w:r w:rsidRPr="00616282">
        <w:rPr>
          <w:rFonts w:ascii="Calibri" w:hAnsi="Calibri" w:cs="Calibri"/>
          <w:sz w:val="20"/>
          <w:szCs w:val="20"/>
        </w:rPr>
        <w:t>.</w:t>
      </w:r>
      <w:proofErr w:type="gramEnd"/>
      <w:r w:rsidRPr="00616282">
        <w:rPr>
          <w:rFonts w:ascii="Calibri" w:hAnsi="Calibri" w:cs="Calibri"/>
          <w:sz w:val="20"/>
          <w:szCs w:val="20"/>
        </w:rPr>
        <w:t xml:space="preserve"> </w:t>
      </w:r>
    </w:p>
    <w:p w14:paraId="4F830195" w14:textId="1EED9D1B" w:rsidR="0088123A" w:rsidRPr="00616282" w:rsidRDefault="0088123A" w:rsidP="00FB0DA0">
      <w:pPr>
        <w:rPr>
          <w:rFonts w:ascii="Calibri" w:hAnsi="Calibri" w:cs="Calibri"/>
          <w:lang w:val="en-GB"/>
        </w:rPr>
      </w:pPr>
    </w:p>
    <w:p w14:paraId="0BDE957A" w14:textId="0EDC6763" w:rsidR="00AB4951" w:rsidRPr="00616282" w:rsidRDefault="00AB4951" w:rsidP="00AB4951">
      <w:pPr>
        <w:jc w:val="both"/>
        <w:rPr>
          <w:rFonts w:ascii="Calibri" w:hAnsi="Calibri" w:cs="Calibri"/>
          <w:lang w:val="en-GB"/>
        </w:rPr>
      </w:pPr>
      <w:r w:rsidRPr="00616282">
        <w:rPr>
          <w:rFonts w:ascii="Calibri" w:hAnsi="Calibri" w:cs="Calibri"/>
          <w:lang w:val="en-GB"/>
        </w:rPr>
        <w:t>In Transition Risk Exposures Part B</w:t>
      </w:r>
      <w:r w:rsidR="00026EC4" w:rsidRPr="00026EC4">
        <w:rPr>
          <w:rFonts w:ascii="Calibri" w:hAnsi="Calibri" w:cs="Calibri"/>
          <w:highlight w:val="yellow"/>
          <w:lang w:val="en-GB"/>
        </w:rPr>
        <w:t>,</w:t>
      </w:r>
      <w:r w:rsidR="00026EC4">
        <w:rPr>
          <w:rFonts w:ascii="Calibri" w:hAnsi="Calibri" w:cs="Calibri"/>
          <w:lang w:val="en-GB"/>
        </w:rPr>
        <w:t xml:space="preserve"> </w:t>
      </w:r>
      <w:r w:rsidR="00D8084E">
        <w:rPr>
          <w:rFonts w:ascii="Calibri" w:hAnsi="Calibri" w:cs="Calibri"/>
          <w:lang w:val="en-GB"/>
        </w:rPr>
        <w:t xml:space="preserve">the </w:t>
      </w:r>
      <w:r w:rsidRPr="00616282">
        <w:rPr>
          <w:rFonts w:ascii="Calibri" w:hAnsi="Calibri" w:cs="Calibri"/>
          <w:lang w:val="en-GB"/>
        </w:rPr>
        <w:t xml:space="preserve">CBK requests </w:t>
      </w:r>
      <w:r w:rsidR="00D8084E">
        <w:rPr>
          <w:rFonts w:ascii="Calibri" w:hAnsi="Calibri" w:cs="Calibri"/>
          <w:lang w:val="en-GB"/>
        </w:rPr>
        <w:t xml:space="preserve">for disclosure of </w:t>
      </w:r>
      <w:r w:rsidRPr="00616282">
        <w:rPr>
          <w:rFonts w:ascii="Calibri" w:hAnsi="Calibri" w:cs="Calibri"/>
          <w:lang w:val="en-GB"/>
        </w:rPr>
        <w:t>the financed emissions by sector</w:t>
      </w:r>
      <w:r w:rsidR="00D8084E">
        <w:rPr>
          <w:rFonts w:ascii="Calibri" w:hAnsi="Calibri" w:cs="Calibri"/>
          <w:lang w:val="en-GB"/>
        </w:rPr>
        <w:t>,</w:t>
      </w:r>
      <w:r w:rsidRPr="00616282">
        <w:rPr>
          <w:rFonts w:ascii="Calibri" w:hAnsi="Calibri" w:cs="Calibri"/>
          <w:lang w:val="en-GB"/>
        </w:rPr>
        <w:t xml:space="preserve"> with further elaboration on the percentage of the sector measured and data quality scores. Financed emissions and emission intensities are critical to understanding transition risk exposures, progress on decarbonization targets, and alignment metrics.</w:t>
      </w:r>
    </w:p>
    <w:p w14:paraId="5AE12F40" w14:textId="77777777" w:rsidR="00AB4951" w:rsidRPr="00616282" w:rsidRDefault="00AB4951" w:rsidP="00FB0DA0">
      <w:pPr>
        <w:rPr>
          <w:rFonts w:ascii="Calibri" w:hAnsi="Calibri" w:cs="Calibri"/>
        </w:rPr>
      </w:pPr>
    </w:p>
    <w:p w14:paraId="20516B23" w14:textId="77777777" w:rsidR="00157082" w:rsidRDefault="00157082">
      <w:pPr>
        <w:rPr>
          <w:rFonts w:ascii="Calibri" w:hAnsi="Calibri" w:cs="Calibri"/>
          <w:b/>
          <w:bCs/>
          <w:color w:val="ED7D31" w:themeColor="accent2"/>
          <w:lang w:val="en-GB"/>
        </w:rPr>
      </w:pPr>
      <w:bookmarkStart w:id="30" w:name="_Toc167079290"/>
      <w:bookmarkStart w:id="31" w:name="_Toc167079480"/>
      <w:bookmarkStart w:id="32" w:name="_Toc171908199"/>
      <w:r>
        <w:rPr>
          <w:rFonts w:ascii="Calibri" w:hAnsi="Calibri" w:cs="Calibri"/>
          <w:b/>
          <w:bCs/>
          <w:color w:val="ED7D31" w:themeColor="accent2"/>
          <w:lang w:val="en-GB"/>
        </w:rPr>
        <w:br w:type="page"/>
      </w:r>
    </w:p>
    <w:p w14:paraId="57BC1D6E" w14:textId="5950A851" w:rsidR="0088123A" w:rsidRPr="00616282" w:rsidRDefault="00797526" w:rsidP="00616282">
      <w:pPr>
        <w:rPr>
          <w:rFonts w:ascii="Calibri" w:hAnsi="Calibri" w:cs="Calibri"/>
          <w:b/>
          <w:bCs/>
          <w:color w:val="ED7D31" w:themeColor="accent2"/>
          <w:lang w:val="en-GB"/>
        </w:rPr>
      </w:pPr>
      <w:r w:rsidRPr="00616282">
        <w:rPr>
          <w:rFonts w:ascii="Calibri" w:hAnsi="Calibri" w:cs="Calibri"/>
          <w:b/>
          <w:bCs/>
          <w:color w:val="ED7D31" w:themeColor="accent2"/>
          <w:lang w:val="en-GB"/>
        </w:rPr>
        <w:lastRenderedPageBreak/>
        <w:t xml:space="preserve">Table </w:t>
      </w:r>
      <w:r w:rsidRPr="00616282">
        <w:rPr>
          <w:rFonts w:ascii="Calibri" w:hAnsi="Calibri" w:cs="Calibri"/>
          <w:b/>
          <w:bCs/>
          <w:color w:val="ED7D31" w:themeColor="accent2"/>
          <w:lang w:val="en-GB"/>
        </w:rPr>
        <w:fldChar w:fldCharType="begin"/>
      </w:r>
      <w:r w:rsidRPr="00616282">
        <w:rPr>
          <w:rFonts w:ascii="Calibri" w:hAnsi="Calibri" w:cs="Calibri"/>
          <w:b/>
          <w:bCs/>
          <w:color w:val="ED7D31" w:themeColor="accent2"/>
          <w:lang w:val="en-GB"/>
        </w:rPr>
        <w:instrText xml:space="preserve"> SEQ Table \* ARABIC </w:instrText>
      </w:r>
      <w:r w:rsidRPr="00616282">
        <w:rPr>
          <w:rFonts w:ascii="Calibri" w:hAnsi="Calibri" w:cs="Calibri"/>
          <w:b/>
          <w:bCs/>
          <w:color w:val="ED7D31" w:themeColor="accent2"/>
          <w:lang w:val="en-GB"/>
        </w:rPr>
        <w:fldChar w:fldCharType="separate"/>
      </w:r>
      <w:r w:rsidR="0096670A">
        <w:rPr>
          <w:rFonts w:ascii="Calibri" w:hAnsi="Calibri" w:cs="Calibri"/>
          <w:b/>
          <w:bCs/>
          <w:noProof/>
          <w:color w:val="ED7D31" w:themeColor="accent2"/>
          <w:lang w:val="en-GB"/>
        </w:rPr>
        <w:t>5</w:t>
      </w:r>
      <w:r w:rsidRPr="00616282">
        <w:rPr>
          <w:rFonts w:ascii="Calibri" w:hAnsi="Calibri" w:cs="Calibri"/>
          <w:b/>
          <w:bCs/>
          <w:color w:val="ED7D31" w:themeColor="accent2"/>
          <w:lang w:val="en-GB"/>
        </w:rPr>
        <w:fldChar w:fldCharType="end"/>
      </w:r>
      <w:r w:rsidRPr="00616282">
        <w:rPr>
          <w:rFonts w:ascii="Calibri" w:hAnsi="Calibri" w:cs="Calibri"/>
          <w:b/>
          <w:bCs/>
          <w:color w:val="ED7D31" w:themeColor="accent2"/>
          <w:lang w:val="en-GB"/>
        </w:rPr>
        <w:t>: Transition Risk Exposure Reporting Template Part B</w:t>
      </w:r>
      <w:bookmarkEnd w:id="30"/>
      <w:bookmarkEnd w:id="31"/>
      <w:bookmarkEnd w:id="32"/>
    </w:p>
    <w:p w14:paraId="04A9285A" w14:textId="09059F2A" w:rsidR="000F569A" w:rsidRPr="00616282" w:rsidRDefault="00D77195" w:rsidP="00FB0DA0">
      <w:pPr>
        <w:rPr>
          <w:rFonts w:ascii="Calibri" w:hAnsi="Calibri" w:cs="Calibri"/>
        </w:rPr>
      </w:pPr>
      <w:r w:rsidRPr="00616282">
        <w:rPr>
          <w:rFonts w:ascii="Calibri" w:hAnsi="Calibri" w:cs="Calibri"/>
          <w:noProof/>
          <w14:ligatures w14:val="standardContextual"/>
        </w:rPr>
        <w:t xml:space="preserve"> </w:t>
      </w:r>
      <w:r w:rsidRPr="00616282">
        <w:rPr>
          <w:rFonts w:ascii="Calibri" w:hAnsi="Calibri" w:cs="Calibri"/>
          <w:noProof/>
        </w:rPr>
        <w:drawing>
          <wp:inline distT="0" distB="0" distL="0" distR="0" wp14:anchorId="5AF42378" wp14:editId="2852B753">
            <wp:extent cx="5600881" cy="3389321"/>
            <wp:effectExtent l="0" t="0" r="0" b="1905"/>
            <wp:docPr id="182950271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9502714" name=""/>
                    <pic:cNvPicPr/>
                  </pic:nvPicPr>
                  <pic:blipFill>
                    <a:blip r:embed="rId18"/>
                    <a:stretch>
                      <a:fillRect/>
                    </a:stretch>
                  </pic:blipFill>
                  <pic:spPr>
                    <a:xfrm>
                      <a:off x="0" y="0"/>
                      <a:ext cx="5600881" cy="3389321"/>
                    </a:xfrm>
                    <a:prstGeom prst="rect">
                      <a:avLst/>
                    </a:prstGeom>
                  </pic:spPr>
                </pic:pic>
              </a:graphicData>
            </a:graphic>
          </wp:inline>
        </w:drawing>
      </w:r>
    </w:p>
    <w:p w14:paraId="6E820E27" w14:textId="39727C1B" w:rsidR="00A74BD5" w:rsidRPr="00616282" w:rsidRDefault="00A74BD5" w:rsidP="00A74BD5">
      <w:pPr>
        <w:jc w:val="both"/>
        <w:rPr>
          <w:rFonts w:ascii="Calibri" w:hAnsi="Calibri" w:cs="Calibri"/>
          <w:sz w:val="20"/>
          <w:szCs w:val="20"/>
          <w:lang w:val="en-GB"/>
        </w:rPr>
      </w:pPr>
      <w:r w:rsidRPr="00616282">
        <w:rPr>
          <w:rFonts w:ascii="Calibri" w:hAnsi="Calibri" w:cs="Calibri"/>
          <w:b/>
          <w:bCs/>
          <w:sz w:val="20"/>
          <w:szCs w:val="20"/>
          <w:lang w:val="en-GB"/>
        </w:rPr>
        <w:t>Source</w:t>
      </w:r>
      <w:r w:rsidRPr="00616282">
        <w:rPr>
          <w:rFonts w:ascii="Calibri" w:hAnsi="Calibri" w:cs="Calibri"/>
          <w:sz w:val="20"/>
          <w:szCs w:val="20"/>
          <w:lang w:val="en-GB"/>
        </w:rPr>
        <w:t xml:space="preserve">: </w:t>
      </w:r>
      <w:r w:rsidR="00C807D2">
        <w:rPr>
          <w:rFonts w:ascii="Calibri" w:hAnsi="Calibri" w:cs="Calibri"/>
          <w:sz w:val="20"/>
          <w:szCs w:val="20"/>
          <w:lang w:val="en-GB"/>
        </w:rPr>
        <w:t>Adapted from the European Banking Authority. 2022. Final report draft Implementing Technical Standards (ITS) on prudential disclosures on ESG.</w:t>
      </w:r>
    </w:p>
    <w:p w14:paraId="18C26AB4" w14:textId="77777777" w:rsidR="00A74BD5" w:rsidRPr="00616282" w:rsidRDefault="00A74BD5" w:rsidP="00FB0DA0">
      <w:pPr>
        <w:rPr>
          <w:rFonts w:ascii="Calibri" w:hAnsi="Calibri" w:cs="Calibri"/>
        </w:rPr>
      </w:pPr>
    </w:p>
    <w:p w14:paraId="104973F5" w14:textId="6E3E1C79" w:rsidR="00AB4951" w:rsidRPr="00616282" w:rsidRDefault="00AB4951" w:rsidP="00AB4951">
      <w:pPr>
        <w:jc w:val="both"/>
        <w:rPr>
          <w:rFonts w:ascii="Calibri" w:hAnsi="Calibri" w:cs="Calibri"/>
          <w:lang w:val="en-GB"/>
        </w:rPr>
      </w:pPr>
      <w:r w:rsidRPr="00616282">
        <w:rPr>
          <w:rFonts w:ascii="Calibri" w:hAnsi="Calibri" w:cs="Calibri"/>
          <w:lang w:val="en-GB"/>
        </w:rPr>
        <w:t>In Transition Risk Exposures Part C</w:t>
      </w:r>
      <w:r w:rsidR="00026EC4" w:rsidRPr="00026EC4">
        <w:rPr>
          <w:rFonts w:ascii="Calibri" w:hAnsi="Calibri" w:cs="Calibri"/>
          <w:highlight w:val="yellow"/>
          <w:lang w:val="en-GB"/>
        </w:rPr>
        <w:t>,</w:t>
      </w:r>
      <w:r w:rsidRPr="00616282">
        <w:rPr>
          <w:rFonts w:ascii="Calibri" w:hAnsi="Calibri" w:cs="Calibri"/>
          <w:lang w:val="en-GB"/>
        </w:rPr>
        <w:t xml:space="preserve"> </w:t>
      </w:r>
      <w:r w:rsidR="00D8084E">
        <w:rPr>
          <w:rFonts w:ascii="Calibri" w:hAnsi="Calibri" w:cs="Calibri"/>
          <w:lang w:val="en-GB"/>
        </w:rPr>
        <w:t xml:space="preserve">the </w:t>
      </w:r>
      <w:r w:rsidRPr="00616282">
        <w:rPr>
          <w:rFonts w:ascii="Calibri" w:hAnsi="Calibri" w:cs="Calibri"/>
          <w:lang w:val="en-GB"/>
        </w:rPr>
        <w:t>CBK requests the maturity profile of exposures by sector.</w:t>
      </w:r>
    </w:p>
    <w:p w14:paraId="01FA1604" w14:textId="77777777" w:rsidR="0048344F" w:rsidRPr="00616282" w:rsidRDefault="0048344F" w:rsidP="00FB0DA0">
      <w:pPr>
        <w:rPr>
          <w:rFonts w:ascii="Calibri" w:hAnsi="Calibri" w:cs="Calibri"/>
        </w:rPr>
      </w:pPr>
    </w:p>
    <w:p w14:paraId="5A2BEA32" w14:textId="682124CD" w:rsidR="0048344F" w:rsidRPr="00616282" w:rsidRDefault="0048344F" w:rsidP="00616282">
      <w:pPr>
        <w:rPr>
          <w:rFonts w:ascii="Calibri" w:hAnsi="Calibri" w:cs="Calibri"/>
          <w:b/>
          <w:bCs/>
          <w:color w:val="ED7D31" w:themeColor="accent2"/>
          <w:lang w:val="en-GB"/>
        </w:rPr>
      </w:pPr>
      <w:bookmarkStart w:id="33" w:name="_Toc167079291"/>
      <w:bookmarkStart w:id="34" w:name="_Toc167079481"/>
      <w:bookmarkStart w:id="35" w:name="_Toc171908200"/>
      <w:r w:rsidRPr="00616282">
        <w:rPr>
          <w:rFonts w:ascii="Calibri" w:hAnsi="Calibri" w:cs="Calibri"/>
          <w:b/>
          <w:bCs/>
          <w:color w:val="ED7D31" w:themeColor="accent2"/>
          <w:lang w:val="en-GB"/>
        </w:rPr>
        <w:t xml:space="preserve">Table </w:t>
      </w:r>
      <w:r w:rsidRPr="00616282">
        <w:rPr>
          <w:rFonts w:ascii="Calibri" w:hAnsi="Calibri" w:cs="Calibri"/>
          <w:b/>
          <w:bCs/>
          <w:color w:val="ED7D31" w:themeColor="accent2"/>
          <w:lang w:val="en-GB"/>
        </w:rPr>
        <w:fldChar w:fldCharType="begin"/>
      </w:r>
      <w:r w:rsidRPr="00616282">
        <w:rPr>
          <w:rFonts w:ascii="Calibri" w:hAnsi="Calibri" w:cs="Calibri"/>
          <w:b/>
          <w:bCs/>
          <w:color w:val="ED7D31" w:themeColor="accent2"/>
          <w:lang w:val="en-GB"/>
        </w:rPr>
        <w:instrText xml:space="preserve"> SEQ Table \* ARABIC </w:instrText>
      </w:r>
      <w:r w:rsidRPr="00616282">
        <w:rPr>
          <w:rFonts w:ascii="Calibri" w:hAnsi="Calibri" w:cs="Calibri"/>
          <w:b/>
          <w:bCs/>
          <w:color w:val="ED7D31" w:themeColor="accent2"/>
          <w:lang w:val="en-GB"/>
        </w:rPr>
        <w:fldChar w:fldCharType="separate"/>
      </w:r>
      <w:r w:rsidR="0096670A">
        <w:rPr>
          <w:rFonts w:ascii="Calibri" w:hAnsi="Calibri" w:cs="Calibri"/>
          <w:b/>
          <w:bCs/>
          <w:noProof/>
          <w:color w:val="ED7D31" w:themeColor="accent2"/>
          <w:lang w:val="en-GB"/>
        </w:rPr>
        <w:t>6</w:t>
      </w:r>
      <w:r w:rsidRPr="00616282">
        <w:rPr>
          <w:rFonts w:ascii="Calibri" w:hAnsi="Calibri" w:cs="Calibri"/>
          <w:b/>
          <w:bCs/>
          <w:color w:val="ED7D31" w:themeColor="accent2"/>
          <w:lang w:val="en-GB"/>
        </w:rPr>
        <w:fldChar w:fldCharType="end"/>
      </w:r>
      <w:r w:rsidRPr="00616282">
        <w:rPr>
          <w:rFonts w:ascii="Calibri" w:hAnsi="Calibri" w:cs="Calibri"/>
          <w:b/>
          <w:bCs/>
          <w:color w:val="ED7D31" w:themeColor="accent2"/>
          <w:lang w:val="en-GB"/>
        </w:rPr>
        <w:t>: Transition Risk Exposure Reporting Template Part C</w:t>
      </w:r>
      <w:bookmarkEnd w:id="33"/>
      <w:bookmarkEnd w:id="34"/>
      <w:bookmarkEnd w:id="35"/>
    </w:p>
    <w:p w14:paraId="0CD9DD43" w14:textId="7BBEB9C2" w:rsidR="0048344F" w:rsidRPr="00616282" w:rsidRDefault="00D77195" w:rsidP="00FB0DA0">
      <w:pPr>
        <w:rPr>
          <w:rFonts w:ascii="Calibri" w:hAnsi="Calibri" w:cs="Calibri"/>
        </w:rPr>
      </w:pPr>
      <w:r w:rsidRPr="00616282">
        <w:rPr>
          <w:rFonts w:ascii="Calibri" w:hAnsi="Calibri" w:cs="Calibri"/>
          <w:noProof/>
          <w14:ligatures w14:val="standardContextual"/>
        </w:rPr>
        <w:t xml:space="preserve"> </w:t>
      </w:r>
      <w:r w:rsidRPr="00616282">
        <w:rPr>
          <w:rFonts w:ascii="Calibri" w:hAnsi="Calibri" w:cs="Calibri"/>
          <w:noProof/>
        </w:rPr>
        <w:drawing>
          <wp:inline distT="0" distB="0" distL="0" distR="0" wp14:anchorId="59C86033" wp14:editId="57452467">
            <wp:extent cx="5731510" cy="3743325"/>
            <wp:effectExtent l="0" t="0" r="0" b="3175"/>
            <wp:docPr id="198681619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6816192" name=""/>
                    <pic:cNvPicPr/>
                  </pic:nvPicPr>
                  <pic:blipFill>
                    <a:blip r:embed="rId19"/>
                    <a:stretch>
                      <a:fillRect/>
                    </a:stretch>
                  </pic:blipFill>
                  <pic:spPr>
                    <a:xfrm>
                      <a:off x="0" y="0"/>
                      <a:ext cx="5731510" cy="3743325"/>
                    </a:xfrm>
                    <a:prstGeom prst="rect">
                      <a:avLst/>
                    </a:prstGeom>
                  </pic:spPr>
                </pic:pic>
              </a:graphicData>
            </a:graphic>
          </wp:inline>
        </w:drawing>
      </w:r>
    </w:p>
    <w:p w14:paraId="6D5B8D33" w14:textId="5557B35B" w:rsidR="00A74BD5" w:rsidRPr="00616282" w:rsidRDefault="00A74BD5" w:rsidP="00A74BD5">
      <w:pPr>
        <w:jc w:val="both"/>
        <w:rPr>
          <w:rFonts w:ascii="Calibri" w:hAnsi="Calibri" w:cs="Calibri"/>
          <w:sz w:val="20"/>
          <w:szCs w:val="20"/>
          <w:lang w:val="en-GB"/>
        </w:rPr>
      </w:pPr>
      <w:r w:rsidRPr="00616282">
        <w:rPr>
          <w:rFonts w:ascii="Calibri" w:hAnsi="Calibri" w:cs="Calibri"/>
          <w:b/>
          <w:bCs/>
          <w:sz w:val="20"/>
          <w:szCs w:val="20"/>
          <w:lang w:val="en-GB"/>
        </w:rPr>
        <w:t>Source</w:t>
      </w:r>
      <w:r w:rsidRPr="00616282">
        <w:rPr>
          <w:rFonts w:ascii="Calibri" w:hAnsi="Calibri" w:cs="Calibri"/>
          <w:sz w:val="20"/>
          <w:szCs w:val="20"/>
          <w:lang w:val="en-GB"/>
        </w:rPr>
        <w:t xml:space="preserve">: </w:t>
      </w:r>
      <w:r w:rsidR="00C807D2">
        <w:rPr>
          <w:rFonts w:ascii="Calibri" w:hAnsi="Calibri" w:cs="Calibri"/>
          <w:sz w:val="20"/>
          <w:szCs w:val="20"/>
          <w:lang w:val="en-GB"/>
        </w:rPr>
        <w:t>Adapted from the European Banking Authority. 2022. Final report draft Implementing Technical Standards (ITS) on prudential disclosures on ESG.</w:t>
      </w:r>
    </w:p>
    <w:p w14:paraId="36CCEE4D" w14:textId="77777777" w:rsidR="0048344F" w:rsidRPr="00616282" w:rsidRDefault="0048344F" w:rsidP="0048344F">
      <w:pPr>
        <w:jc w:val="both"/>
        <w:rPr>
          <w:rFonts w:ascii="Calibri" w:eastAsiaTheme="majorEastAsia" w:hAnsi="Calibri" w:cs="Calibri"/>
          <w:color w:val="2F5496" w:themeColor="accent1" w:themeShade="BF"/>
        </w:rPr>
      </w:pPr>
    </w:p>
    <w:p w14:paraId="7D538388" w14:textId="0F952853" w:rsidR="00856169" w:rsidRPr="00616282" w:rsidRDefault="00856169" w:rsidP="0061766C">
      <w:pPr>
        <w:pStyle w:val="Heading1"/>
        <w:pBdr>
          <w:bottom w:val="single" w:sz="8" w:space="1" w:color="2E74B5" w:themeColor="accent5" w:themeShade="BF"/>
        </w:pBdr>
        <w:rPr>
          <w:rFonts w:ascii="Calibri" w:hAnsi="Calibri" w:cs="Calibri"/>
        </w:rPr>
      </w:pPr>
      <w:bookmarkStart w:id="36" w:name="_Toc167079292"/>
      <w:bookmarkStart w:id="37" w:name="_Toc167079482"/>
      <w:bookmarkStart w:id="38" w:name="_Toc171908183"/>
      <w:r w:rsidRPr="00616282">
        <w:rPr>
          <w:rFonts w:ascii="Calibri" w:hAnsi="Calibri" w:cs="Calibri"/>
        </w:rPr>
        <w:lastRenderedPageBreak/>
        <w:t>Governance</w:t>
      </w:r>
      <w:bookmarkEnd w:id="36"/>
      <w:bookmarkEnd w:id="37"/>
      <w:bookmarkEnd w:id="38"/>
      <w:r w:rsidRPr="00616282">
        <w:rPr>
          <w:rFonts w:ascii="Calibri" w:hAnsi="Calibri" w:cs="Calibri"/>
        </w:rPr>
        <w:t xml:space="preserve"> </w:t>
      </w:r>
    </w:p>
    <w:p w14:paraId="10D91F15" w14:textId="77777777" w:rsidR="005E5E6F" w:rsidRPr="00616282" w:rsidRDefault="005E5E6F" w:rsidP="00FB0DA0">
      <w:pPr>
        <w:pStyle w:val="ListParagraph"/>
        <w:ind w:left="360"/>
        <w:contextualSpacing w:val="0"/>
        <w:outlineLvl w:val="0"/>
        <w:rPr>
          <w:rFonts w:ascii="Calibri" w:hAnsi="Calibri" w:cs="Calibri"/>
          <w:lang w:val="en-GB"/>
        </w:rPr>
      </w:pPr>
    </w:p>
    <w:p w14:paraId="52342C8B" w14:textId="20889535" w:rsidR="00A468AC" w:rsidRPr="00616282" w:rsidRDefault="00A468AC" w:rsidP="00312AC3">
      <w:pPr>
        <w:jc w:val="both"/>
        <w:rPr>
          <w:rFonts w:ascii="Calibri" w:hAnsi="Calibri" w:cs="Calibri"/>
          <w:lang w:val="en-GB"/>
        </w:rPr>
      </w:pPr>
      <w:r w:rsidRPr="00616282">
        <w:rPr>
          <w:rFonts w:ascii="Calibri" w:hAnsi="Calibri" w:cs="Calibri"/>
          <w:lang w:val="en-GB"/>
        </w:rPr>
        <w:t xml:space="preserve">The </w:t>
      </w:r>
      <w:r w:rsidR="00312AC3" w:rsidRPr="00616282">
        <w:rPr>
          <w:rFonts w:ascii="Calibri" w:hAnsi="Calibri" w:cs="Calibri"/>
          <w:lang w:val="en-GB"/>
        </w:rPr>
        <w:t>CBK’s</w:t>
      </w:r>
      <w:r w:rsidRPr="00616282">
        <w:rPr>
          <w:rFonts w:ascii="Calibri" w:hAnsi="Calibri" w:cs="Calibri"/>
          <w:lang w:val="en-GB"/>
        </w:rPr>
        <w:t xml:space="preserve"> expectation</w:t>
      </w:r>
      <w:r w:rsidR="005C051B" w:rsidRPr="00616282">
        <w:rPr>
          <w:rFonts w:ascii="Calibri" w:hAnsi="Calibri" w:cs="Calibri"/>
          <w:lang w:val="en-GB"/>
        </w:rPr>
        <w:t>s</w:t>
      </w:r>
      <w:r w:rsidRPr="00616282">
        <w:rPr>
          <w:rFonts w:ascii="Calibri" w:hAnsi="Calibri" w:cs="Calibri"/>
          <w:lang w:val="en-GB"/>
        </w:rPr>
        <w:t xml:space="preserve"> on climate </w:t>
      </w:r>
      <w:r w:rsidR="004175F9" w:rsidRPr="00616282">
        <w:rPr>
          <w:rFonts w:ascii="Calibri" w:hAnsi="Calibri" w:cs="Calibri"/>
          <w:lang w:val="en-GB"/>
        </w:rPr>
        <w:t>governance</w:t>
      </w:r>
      <w:r w:rsidR="005C051B" w:rsidRPr="00616282">
        <w:rPr>
          <w:rFonts w:ascii="Calibri" w:hAnsi="Calibri" w:cs="Calibri"/>
          <w:lang w:val="en-GB"/>
        </w:rPr>
        <w:t xml:space="preserve"> </w:t>
      </w:r>
      <w:r w:rsidR="00CA49A3" w:rsidRPr="00616282">
        <w:rPr>
          <w:rFonts w:ascii="Calibri" w:hAnsi="Calibri" w:cs="Calibri"/>
          <w:lang w:val="en-GB"/>
        </w:rPr>
        <w:t>revolve around the “fit for purpose” criterion. That is ensuring</w:t>
      </w:r>
      <w:r w:rsidR="005C051B" w:rsidRPr="00616282">
        <w:rPr>
          <w:rFonts w:ascii="Calibri" w:hAnsi="Calibri" w:cs="Calibri"/>
          <w:lang w:val="en-GB"/>
        </w:rPr>
        <w:t xml:space="preserve"> proper </w:t>
      </w:r>
      <w:r w:rsidR="00324187" w:rsidRPr="00616282">
        <w:rPr>
          <w:rFonts w:ascii="Calibri" w:hAnsi="Calibri" w:cs="Calibri"/>
          <w:lang w:val="en-GB"/>
        </w:rPr>
        <w:t>governance structures</w:t>
      </w:r>
      <w:r w:rsidR="001C4D07" w:rsidRPr="00616282">
        <w:rPr>
          <w:rFonts w:ascii="Calibri" w:hAnsi="Calibri" w:cs="Calibri"/>
          <w:lang w:val="en-GB"/>
        </w:rPr>
        <w:t xml:space="preserve"> </w:t>
      </w:r>
      <w:r w:rsidR="00CA49A3" w:rsidRPr="00616282">
        <w:rPr>
          <w:rFonts w:ascii="Calibri" w:hAnsi="Calibri" w:cs="Calibri"/>
          <w:lang w:val="en-GB"/>
        </w:rPr>
        <w:t xml:space="preserve">are in place </w:t>
      </w:r>
      <w:r w:rsidR="001C4D07" w:rsidRPr="00616282">
        <w:rPr>
          <w:rFonts w:ascii="Calibri" w:hAnsi="Calibri" w:cs="Calibri"/>
          <w:lang w:val="en-GB"/>
        </w:rPr>
        <w:t>to properly assess</w:t>
      </w:r>
      <w:r w:rsidR="005A5F60" w:rsidRPr="00616282">
        <w:rPr>
          <w:rFonts w:ascii="Calibri" w:hAnsi="Calibri" w:cs="Calibri"/>
          <w:lang w:val="en-GB"/>
        </w:rPr>
        <w:t xml:space="preserve"> </w:t>
      </w:r>
      <w:r w:rsidR="005A5F60" w:rsidRPr="00616282">
        <w:rPr>
          <w:rFonts w:ascii="Calibri" w:hAnsi="Calibri" w:cs="Calibri"/>
        </w:rPr>
        <w:t xml:space="preserve">climate-related risks and opportunities, take appropriate strategic decisions </w:t>
      </w:r>
      <w:r w:rsidR="002F289E" w:rsidRPr="00616282">
        <w:rPr>
          <w:rFonts w:ascii="Calibri" w:hAnsi="Calibri" w:cs="Calibri"/>
        </w:rPr>
        <w:t>to</w:t>
      </w:r>
      <w:r w:rsidR="005A5F60" w:rsidRPr="00616282">
        <w:rPr>
          <w:rFonts w:ascii="Calibri" w:hAnsi="Calibri" w:cs="Calibri"/>
        </w:rPr>
        <w:t xml:space="preserve"> manage </w:t>
      </w:r>
      <w:r w:rsidR="002F289E" w:rsidRPr="00616282">
        <w:rPr>
          <w:rFonts w:ascii="Calibri" w:hAnsi="Calibri" w:cs="Calibri"/>
        </w:rPr>
        <w:t>them</w:t>
      </w:r>
      <w:r w:rsidR="005A5F60" w:rsidRPr="00616282">
        <w:rPr>
          <w:rFonts w:ascii="Calibri" w:hAnsi="Calibri" w:cs="Calibri"/>
        </w:rPr>
        <w:t xml:space="preserve">, and </w:t>
      </w:r>
      <w:r w:rsidR="002F289E" w:rsidRPr="00616282">
        <w:rPr>
          <w:rFonts w:ascii="Calibri" w:hAnsi="Calibri" w:cs="Calibri"/>
        </w:rPr>
        <w:t>determine</w:t>
      </w:r>
      <w:r w:rsidR="005A5F60" w:rsidRPr="00616282">
        <w:rPr>
          <w:rFonts w:ascii="Calibri" w:hAnsi="Calibri" w:cs="Calibri"/>
        </w:rPr>
        <w:t xml:space="preserve"> relevant goals and targets</w:t>
      </w:r>
      <w:r w:rsidR="00196BD8" w:rsidRPr="00616282">
        <w:rPr>
          <w:rFonts w:ascii="Calibri" w:hAnsi="Calibri" w:cs="Calibri"/>
        </w:rPr>
        <w:t xml:space="preserve"> along with progress monitoring mechanisms</w:t>
      </w:r>
      <w:r w:rsidRPr="00616282">
        <w:rPr>
          <w:rFonts w:ascii="Calibri" w:hAnsi="Calibri" w:cs="Calibri"/>
          <w:lang w:val="en-GB"/>
        </w:rPr>
        <w:t xml:space="preserve">. </w:t>
      </w:r>
      <w:r w:rsidR="005A5F60" w:rsidRPr="00616282">
        <w:rPr>
          <w:rFonts w:ascii="Calibri" w:hAnsi="Calibri" w:cs="Calibri"/>
          <w:lang w:val="en-GB"/>
        </w:rPr>
        <w:t xml:space="preserve">Banks should have </w:t>
      </w:r>
      <w:r w:rsidR="00814086" w:rsidRPr="00616282">
        <w:rPr>
          <w:rFonts w:ascii="Calibri" w:hAnsi="Calibri" w:cs="Calibri"/>
          <w:lang w:val="en-GB"/>
        </w:rPr>
        <w:t>in place robust governance</w:t>
      </w:r>
      <w:r w:rsidR="00C431FA" w:rsidRPr="00616282">
        <w:rPr>
          <w:rFonts w:ascii="Calibri" w:hAnsi="Calibri" w:cs="Calibri"/>
          <w:lang w:val="en-GB"/>
        </w:rPr>
        <w:t xml:space="preserve"> arrangements</w:t>
      </w:r>
      <w:r w:rsidR="00814086" w:rsidRPr="00616282">
        <w:rPr>
          <w:rFonts w:ascii="Calibri" w:hAnsi="Calibri" w:cs="Calibri"/>
          <w:lang w:val="en-GB"/>
        </w:rPr>
        <w:t xml:space="preserve"> that enable them to effectively identify, manage, </w:t>
      </w:r>
      <w:r w:rsidR="00DD4F7B" w:rsidRPr="00616282">
        <w:rPr>
          <w:rFonts w:ascii="Calibri" w:hAnsi="Calibri" w:cs="Calibri"/>
          <w:lang w:val="en-GB"/>
        </w:rPr>
        <w:t>monitor,</w:t>
      </w:r>
      <w:r w:rsidR="00C431FA" w:rsidRPr="00616282">
        <w:rPr>
          <w:rFonts w:ascii="Calibri" w:hAnsi="Calibri" w:cs="Calibri"/>
          <w:lang w:val="en-GB"/>
        </w:rPr>
        <w:t xml:space="preserve"> </w:t>
      </w:r>
      <w:r w:rsidR="00814086" w:rsidRPr="00616282">
        <w:rPr>
          <w:rFonts w:ascii="Calibri" w:hAnsi="Calibri" w:cs="Calibri"/>
          <w:lang w:val="en-GB"/>
        </w:rPr>
        <w:t>and report the risks they are, or might be, exposed to both on an individual and consolidated basis</w:t>
      </w:r>
      <w:r w:rsidR="00814086" w:rsidRPr="00616282">
        <w:rPr>
          <w:rStyle w:val="A1"/>
          <w:rFonts w:ascii="Calibri" w:hAnsi="Calibri" w:cs="Calibri"/>
        </w:rPr>
        <w:t xml:space="preserve">. </w:t>
      </w:r>
      <w:r w:rsidRPr="00616282">
        <w:rPr>
          <w:rFonts w:ascii="Calibri" w:hAnsi="Calibri" w:cs="Calibri"/>
          <w:lang w:val="en-GB"/>
        </w:rPr>
        <w:t xml:space="preserve">(Section </w:t>
      </w:r>
      <w:r w:rsidR="00DA1CA6" w:rsidRPr="00616282">
        <w:rPr>
          <w:rFonts w:ascii="Calibri" w:hAnsi="Calibri" w:cs="Calibri"/>
          <w:lang w:val="en-GB"/>
        </w:rPr>
        <w:t>2</w:t>
      </w:r>
      <w:r w:rsidRPr="00616282">
        <w:rPr>
          <w:rFonts w:ascii="Calibri" w:hAnsi="Calibri" w:cs="Calibri"/>
          <w:lang w:val="en-GB"/>
        </w:rPr>
        <w:t xml:space="preserve"> of the CBK Guidance on Climate-related Risk Management. 2021).</w:t>
      </w:r>
    </w:p>
    <w:p w14:paraId="7DE5CBC7" w14:textId="77777777" w:rsidR="00E81767" w:rsidRPr="00616282" w:rsidRDefault="00E81767" w:rsidP="0046333A">
      <w:pPr>
        <w:pStyle w:val="ListParagraph"/>
        <w:jc w:val="both"/>
        <w:rPr>
          <w:rFonts w:ascii="Calibri" w:hAnsi="Calibri" w:cs="Calibri"/>
          <w:lang w:val="en-GB"/>
        </w:rPr>
      </w:pPr>
    </w:p>
    <w:p w14:paraId="1CFABC7F" w14:textId="2EC99C59" w:rsidR="00A468AC" w:rsidRPr="00616282" w:rsidRDefault="001A03C9" w:rsidP="00196BD8">
      <w:pPr>
        <w:jc w:val="both"/>
        <w:rPr>
          <w:rFonts w:ascii="Calibri" w:hAnsi="Calibri" w:cs="Calibri"/>
          <w:lang w:val="en-GB"/>
        </w:rPr>
      </w:pPr>
      <w:r w:rsidRPr="00616282">
        <w:rPr>
          <w:rFonts w:ascii="Calibri" w:hAnsi="Calibri" w:cs="Calibri"/>
          <w:lang w:val="en-GB"/>
        </w:rPr>
        <w:t xml:space="preserve">Governance of </w:t>
      </w:r>
      <w:r w:rsidR="0008057D">
        <w:rPr>
          <w:rFonts w:ascii="Calibri" w:hAnsi="Calibri" w:cs="Calibri"/>
          <w:lang w:val="en-GB"/>
        </w:rPr>
        <w:t>climate-related</w:t>
      </w:r>
      <w:r w:rsidRPr="00616282">
        <w:rPr>
          <w:rFonts w:ascii="Calibri" w:hAnsi="Calibri" w:cs="Calibri"/>
          <w:lang w:val="en-GB"/>
        </w:rPr>
        <w:t xml:space="preserve"> issues can take several forms depend</w:t>
      </w:r>
      <w:r w:rsidR="00837715">
        <w:rPr>
          <w:rFonts w:ascii="Calibri" w:hAnsi="Calibri" w:cs="Calibri"/>
          <w:lang w:val="en-GB"/>
        </w:rPr>
        <w:t>ing</w:t>
      </w:r>
      <w:r w:rsidRPr="00616282">
        <w:rPr>
          <w:rFonts w:ascii="Calibri" w:hAnsi="Calibri" w:cs="Calibri"/>
          <w:lang w:val="en-GB"/>
        </w:rPr>
        <w:t xml:space="preserve"> on the bank business model, legacy issues, and </w:t>
      </w:r>
      <w:r w:rsidR="006E7495" w:rsidRPr="00616282">
        <w:rPr>
          <w:rFonts w:ascii="Calibri" w:hAnsi="Calibri" w:cs="Calibri"/>
          <w:lang w:val="en-GB"/>
        </w:rPr>
        <w:t>other attributes.</w:t>
      </w:r>
      <w:r w:rsidR="00A468AC" w:rsidRPr="00616282">
        <w:rPr>
          <w:rFonts w:ascii="Calibri" w:hAnsi="Calibri" w:cs="Calibri"/>
          <w:lang w:val="en-GB"/>
        </w:rPr>
        <w:t xml:space="preserve"> </w:t>
      </w:r>
      <w:r w:rsidR="006E7495" w:rsidRPr="00616282">
        <w:rPr>
          <w:rFonts w:ascii="Calibri" w:hAnsi="Calibri" w:cs="Calibri"/>
          <w:lang w:val="en-GB"/>
        </w:rPr>
        <w:t xml:space="preserve">What is important is demonstrating that </w:t>
      </w:r>
      <w:r w:rsidR="00A468AC" w:rsidRPr="00616282">
        <w:rPr>
          <w:rFonts w:ascii="Calibri" w:hAnsi="Calibri" w:cs="Calibri"/>
          <w:lang w:val="en-GB"/>
        </w:rPr>
        <w:t>climate risk management</w:t>
      </w:r>
      <w:r w:rsidR="006E7495" w:rsidRPr="00616282">
        <w:rPr>
          <w:rFonts w:ascii="Calibri" w:hAnsi="Calibri" w:cs="Calibri"/>
          <w:lang w:val="en-GB"/>
        </w:rPr>
        <w:t xml:space="preserve"> is </w:t>
      </w:r>
      <w:r w:rsidR="00A646F4" w:rsidRPr="00616282">
        <w:rPr>
          <w:rFonts w:ascii="Calibri" w:hAnsi="Calibri" w:cs="Calibri"/>
          <w:lang w:val="en-GB"/>
        </w:rPr>
        <w:t xml:space="preserve">engrained in the </w:t>
      </w:r>
      <w:r w:rsidR="00837715">
        <w:rPr>
          <w:rFonts w:ascii="Calibri" w:hAnsi="Calibri" w:cs="Calibri"/>
          <w:lang w:val="en-GB"/>
        </w:rPr>
        <w:t xml:space="preserve">bank’s </w:t>
      </w:r>
      <w:r w:rsidR="00A646F4" w:rsidRPr="00616282">
        <w:rPr>
          <w:rFonts w:ascii="Calibri" w:hAnsi="Calibri" w:cs="Calibri"/>
          <w:lang w:val="en-GB"/>
        </w:rPr>
        <w:t xml:space="preserve">risk culture and evidenced </w:t>
      </w:r>
      <w:r w:rsidR="00A468AC" w:rsidRPr="00616282">
        <w:rPr>
          <w:rFonts w:ascii="Calibri" w:hAnsi="Calibri" w:cs="Calibri"/>
          <w:lang w:val="en-GB"/>
        </w:rPr>
        <w:t>across departments, supporting processes, controls</w:t>
      </w:r>
      <w:r w:rsidR="00837715">
        <w:rPr>
          <w:rFonts w:ascii="Calibri" w:hAnsi="Calibri" w:cs="Calibri"/>
          <w:lang w:val="en-GB"/>
        </w:rPr>
        <w:t>,</w:t>
      </w:r>
      <w:r w:rsidR="00A468AC" w:rsidRPr="00616282">
        <w:rPr>
          <w:rFonts w:ascii="Calibri" w:hAnsi="Calibri" w:cs="Calibri"/>
          <w:lang w:val="en-GB"/>
        </w:rPr>
        <w:t xml:space="preserve"> and procedures linked to the board and management for monitoring, </w:t>
      </w:r>
      <w:r w:rsidR="00DD4F7B" w:rsidRPr="00616282">
        <w:rPr>
          <w:rFonts w:ascii="Calibri" w:hAnsi="Calibri" w:cs="Calibri"/>
          <w:lang w:val="en-GB"/>
        </w:rPr>
        <w:t>managing,</w:t>
      </w:r>
      <w:r w:rsidR="00A468AC" w:rsidRPr="00616282">
        <w:rPr>
          <w:rFonts w:ascii="Calibri" w:hAnsi="Calibri" w:cs="Calibri"/>
          <w:lang w:val="en-GB"/>
        </w:rPr>
        <w:t xml:space="preserve"> and overseeing climate-related risks and opportunities. </w:t>
      </w:r>
      <w:r w:rsidR="00143B11" w:rsidRPr="00616282">
        <w:rPr>
          <w:rFonts w:ascii="Calibri" w:hAnsi="Calibri" w:cs="Calibri"/>
          <w:lang w:val="en-GB"/>
        </w:rPr>
        <w:t xml:space="preserve">CBK does not endorse any one </w:t>
      </w:r>
      <w:r w:rsidR="00E16AA5" w:rsidRPr="00616282">
        <w:rPr>
          <w:rFonts w:ascii="Calibri" w:hAnsi="Calibri" w:cs="Calibri"/>
          <w:lang w:val="en-GB"/>
        </w:rPr>
        <w:t>structure.</w:t>
      </w:r>
      <w:r w:rsidR="00A468AC" w:rsidRPr="00616282">
        <w:rPr>
          <w:rFonts w:ascii="Calibri" w:hAnsi="Calibri" w:cs="Calibri"/>
          <w:lang w:val="en-GB"/>
        </w:rPr>
        <w:t xml:space="preserve"> </w:t>
      </w:r>
      <w:r w:rsidR="00E16AA5" w:rsidRPr="00616282">
        <w:rPr>
          <w:rFonts w:ascii="Calibri" w:hAnsi="Calibri" w:cs="Calibri"/>
          <w:lang w:val="en-GB"/>
        </w:rPr>
        <w:t>Banks should demonstrate how their</w:t>
      </w:r>
      <w:r w:rsidR="00A468AC" w:rsidRPr="00616282">
        <w:rPr>
          <w:rFonts w:ascii="Calibri" w:hAnsi="Calibri" w:cs="Calibri"/>
          <w:lang w:val="en-GB"/>
        </w:rPr>
        <w:t xml:space="preserve"> governance body, which can be materialised in the shape of a board, committee or equivalent body charged with governance, or individuals responsible for oversight of climate-related risks and opportunities</w:t>
      </w:r>
      <w:r w:rsidR="00E16AA5" w:rsidRPr="00616282">
        <w:rPr>
          <w:rFonts w:ascii="Calibri" w:hAnsi="Calibri" w:cs="Calibri"/>
          <w:lang w:val="en-GB"/>
        </w:rPr>
        <w:t>, is fit for purpose</w:t>
      </w:r>
      <w:r w:rsidR="00A468AC" w:rsidRPr="00616282">
        <w:rPr>
          <w:rFonts w:ascii="Calibri" w:hAnsi="Calibri" w:cs="Calibri"/>
          <w:lang w:val="en-GB"/>
        </w:rPr>
        <w:t>.</w:t>
      </w:r>
      <w:r w:rsidR="00E16AA5" w:rsidRPr="00616282">
        <w:rPr>
          <w:rFonts w:ascii="Calibri" w:hAnsi="Calibri" w:cs="Calibri"/>
          <w:lang w:val="en-GB"/>
        </w:rPr>
        <w:t xml:space="preserve"> Furthermore, </w:t>
      </w:r>
      <w:r w:rsidR="00A468AC" w:rsidRPr="00616282">
        <w:rPr>
          <w:rFonts w:ascii="Calibri" w:hAnsi="Calibri" w:cs="Calibri"/>
          <w:lang w:val="en-GB"/>
        </w:rPr>
        <w:t>it is necessary to define the management’s role in the governance processes, controls</w:t>
      </w:r>
      <w:r w:rsidR="00837715">
        <w:rPr>
          <w:rFonts w:ascii="Calibri" w:hAnsi="Calibri" w:cs="Calibri"/>
          <w:lang w:val="en-GB"/>
        </w:rPr>
        <w:t>,</w:t>
      </w:r>
      <w:r w:rsidR="00A468AC" w:rsidRPr="00616282">
        <w:rPr>
          <w:rFonts w:ascii="Calibri" w:hAnsi="Calibri" w:cs="Calibri"/>
          <w:lang w:val="en-GB"/>
        </w:rPr>
        <w:t xml:space="preserve"> and procedures used to monitor, </w:t>
      </w:r>
      <w:r w:rsidR="00DD4F7B" w:rsidRPr="00616282">
        <w:rPr>
          <w:rFonts w:ascii="Calibri" w:hAnsi="Calibri" w:cs="Calibri"/>
          <w:lang w:val="en-GB"/>
        </w:rPr>
        <w:t>manage,</w:t>
      </w:r>
      <w:r w:rsidR="00A468AC" w:rsidRPr="00616282">
        <w:rPr>
          <w:rFonts w:ascii="Calibri" w:hAnsi="Calibri" w:cs="Calibri"/>
          <w:lang w:val="en-GB"/>
        </w:rPr>
        <w:t xml:space="preserve"> and oversee climate-related risks and opportunities.</w:t>
      </w:r>
    </w:p>
    <w:p w14:paraId="0CDF2692" w14:textId="77777777" w:rsidR="002C09BB" w:rsidRPr="00616282" w:rsidRDefault="002C09BB" w:rsidP="005E68DE">
      <w:pPr>
        <w:jc w:val="both"/>
        <w:rPr>
          <w:rFonts w:ascii="Calibri" w:hAnsi="Calibri" w:cs="Calibri"/>
          <w:lang w:val="en-GB"/>
        </w:rPr>
      </w:pPr>
    </w:p>
    <w:p w14:paraId="2A6E5BB4" w14:textId="5A2BADBF" w:rsidR="00470F9D" w:rsidRPr="00616282" w:rsidRDefault="002C09BB" w:rsidP="005E68DE">
      <w:pPr>
        <w:jc w:val="both"/>
        <w:rPr>
          <w:rFonts w:ascii="Calibri" w:hAnsi="Calibri" w:cs="Calibri"/>
          <w:lang w:val="en-GB"/>
        </w:rPr>
      </w:pPr>
      <w:r w:rsidRPr="00616282">
        <w:rPr>
          <w:rFonts w:ascii="Calibri" w:hAnsi="Calibri" w:cs="Calibri"/>
          <w:lang w:val="en-GB"/>
        </w:rPr>
        <w:t>T</w:t>
      </w:r>
      <w:r w:rsidR="00DF219B" w:rsidRPr="00616282">
        <w:rPr>
          <w:rFonts w:ascii="Calibri" w:hAnsi="Calibri" w:cs="Calibri"/>
          <w:lang w:val="en-GB"/>
        </w:rPr>
        <w:t>he following table provides a summary of how best practices support the development of a governance framework under two main building blocks</w:t>
      </w:r>
      <w:r w:rsidR="00837715">
        <w:rPr>
          <w:rFonts w:ascii="Calibri" w:hAnsi="Calibri" w:cs="Calibri"/>
          <w:lang w:val="en-GB"/>
        </w:rPr>
        <w:t>: IFRS S2 and BCBS</w:t>
      </w:r>
      <w:r w:rsidR="00DF219B" w:rsidRPr="00616282">
        <w:rPr>
          <w:rFonts w:ascii="Calibri" w:hAnsi="Calibri" w:cs="Calibri"/>
          <w:lang w:val="en-GB"/>
        </w:rPr>
        <w:t>.</w:t>
      </w:r>
    </w:p>
    <w:p w14:paraId="30B1186F" w14:textId="55F67A5D" w:rsidR="004009CA" w:rsidRPr="00616282" w:rsidRDefault="004009CA" w:rsidP="0046333A">
      <w:pPr>
        <w:jc w:val="both"/>
        <w:rPr>
          <w:rFonts w:ascii="Calibri" w:hAnsi="Calibri" w:cs="Calibri"/>
          <w:b/>
          <w:i/>
          <w:iCs/>
          <w:color w:val="ED7D31" w:themeColor="accent2"/>
          <w:lang w:val="en-GB"/>
        </w:rPr>
      </w:pPr>
    </w:p>
    <w:p w14:paraId="16DCDB92" w14:textId="71563DA4" w:rsidR="00144D2D" w:rsidRPr="00616282" w:rsidRDefault="004009CA">
      <w:pPr>
        <w:rPr>
          <w:rFonts w:ascii="Calibri" w:hAnsi="Calibri" w:cs="Calibri"/>
          <w:b/>
          <w:bCs/>
          <w:color w:val="ED7D31" w:themeColor="accent2"/>
          <w:lang w:val="en-GB"/>
        </w:rPr>
      </w:pPr>
      <w:bookmarkStart w:id="39" w:name="_Toc171908201"/>
      <w:r w:rsidRPr="00616282">
        <w:rPr>
          <w:rFonts w:ascii="Calibri" w:hAnsi="Calibri" w:cs="Calibri"/>
          <w:b/>
          <w:bCs/>
          <w:color w:val="ED7D31" w:themeColor="accent2"/>
          <w:lang w:val="en-GB"/>
        </w:rPr>
        <w:t xml:space="preserve">Table </w:t>
      </w:r>
      <w:r w:rsidRPr="00616282">
        <w:rPr>
          <w:rFonts w:ascii="Calibri" w:hAnsi="Calibri" w:cs="Calibri"/>
          <w:b/>
          <w:bCs/>
          <w:color w:val="ED7D31" w:themeColor="accent2"/>
          <w:lang w:val="en-GB"/>
        </w:rPr>
        <w:fldChar w:fldCharType="begin"/>
      </w:r>
      <w:r w:rsidRPr="00616282">
        <w:rPr>
          <w:rFonts w:ascii="Calibri" w:hAnsi="Calibri" w:cs="Calibri"/>
          <w:b/>
          <w:bCs/>
          <w:color w:val="ED7D31" w:themeColor="accent2"/>
          <w:lang w:val="en-GB"/>
        </w:rPr>
        <w:instrText xml:space="preserve"> SEQ Table \* ARABIC </w:instrText>
      </w:r>
      <w:r w:rsidRPr="00616282">
        <w:rPr>
          <w:rFonts w:ascii="Calibri" w:hAnsi="Calibri" w:cs="Calibri"/>
          <w:b/>
          <w:bCs/>
          <w:color w:val="ED7D31" w:themeColor="accent2"/>
          <w:lang w:val="en-GB"/>
        </w:rPr>
        <w:fldChar w:fldCharType="separate"/>
      </w:r>
      <w:r w:rsidR="0096670A">
        <w:rPr>
          <w:rFonts w:ascii="Calibri" w:hAnsi="Calibri" w:cs="Calibri"/>
          <w:b/>
          <w:bCs/>
          <w:noProof/>
          <w:color w:val="ED7D31" w:themeColor="accent2"/>
          <w:lang w:val="en-GB"/>
        </w:rPr>
        <w:t>7</w:t>
      </w:r>
      <w:r w:rsidRPr="00616282">
        <w:rPr>
          <w:rFonts w:ascii="Calibri" w:hAnsi="Calibri" w:cs="Calibri"/>
          <w:b/>
          <w:bCs/>
          <w:color w:val="ED7D31" w:themeColor="accent2"/>
          <w:lang w:val="en-GB"/>
        </w:rPr>
        <w:fldChar w:fldCharType="end"/>
      </w:r>
      <w:r w:rsidRPr="00616282">
        <w:rPr>
          <w:rFonts w:ascii="Calibri" w:hAnsi="Calibri" w:cs="Calibri"/>
          <w:b/>
          <w:bCs/>
          <w:color w:val="ED7D31" w:themeColor="accent2"/>
          <w:lang w:val="en-GB"/>
        </w:rPr>
        <w:t>. Linking CBK, IFRS and BCBS expectations on governance</w:t>
      </w:r>
      <w:bookmarkEnd w:id="39"/>
    </w:p>
    <w:p w14:paraId="16F785A3" w14:textId="77777777" w:rsidR="00A74BD5" w:rsidRPr="00616282" w:rsidRDefault="00A74BD5" w:rsidP="00616282">
      <w:pPr>
        <w:rPr>
          <w:rFonts w:ascii="Calibri" w:hAnsi="Calibri" w:cs="Calibri"/>
          <w:b/>
          <w:bCs/>
          <w:color w:val="ED7D31" w:themeColor="accent2"/>
          <w:lang w:val="en-GB"/>
        </w:rPr>
      </w:pPr>
    </w:p>
    <w:tbl>
      <w:tblPr>
        <w:tblStyle w:val="TableGrid"/>
        <w:tblW w:w="9016"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ayout w:type="fixed"/>
        <w:tblLook w:val="04A0" w:firstRow="1" w:lastRow="0" w:firstColumn="1" w:lastColumn="0" w:noHBand="0" w:noVBand="1"/>
      </w:tblPr>
      <w:tblGrid>
        <w:gridCol w:w="1975"/>
        <w:gridCol w:w="1890"/>
        <w:gridCol w:w="2430"/>
        <w:gridCol w:w="2721"/>
      </w:tblGrid>
      <w:tr w:rsidR="00D30E4D" w:rsidRPr="004725EE" w14:paraId="1EDE2797" w14:textId="77777777" w:rsidTr="00CB4FD6">
        <w:trPr>
          <w:tblHeader/>
        </w:trPr>
        <w:tc>
          <w:tcPr>
            <w:tcW w:w="1975" w:type="dxa"/>
            <w:shd w:val="clear" w:color="auto" w:fill="FBE4D5" w:themeFill="accent2" w:themeFillTint="33"/>
          </w:tcPr>
          <w:p w14:paraId="6778D1BD" w14:textId="37AA2756" w:rsidR="00D30E4D" w:rsidRPr="00616282" w:rsidRDefault="00D30E4D" w:rsidP="00FB0DA0">
            <w:pPr>
              <w:jc w:val="center"/>
              <w:rPr>
                <w:rFonts w:ascii="Calibri" w:hAnsi="Calibri" w:cs="Calibri"/>
                <w:b/>
                <w:bCs/>
                <w:color w:val="4472C4" w:themeColor="accent1"/>
                <w:lang w:val="en-GB"/>
              </w:rPr>
            </w:pPr>
            <w:r w:rsidRPr="00616282">
              <w:rPr>
                <w:rFonts w:ascii="Calibri" w:hAnsi="Calibri" w:cs="Calibri"/>
                <w:b/>
                <w:bCs/>
                <w:color w:val="4472C4" w:themeColor="accent1"/>
                <w:lang w:val="en-GB"/>
              </w:rPr>
              <w:t>CBK</w:t>
            </w:r>
          </w:p>
        </w:tc>
        <w:tc>
          <w:tcPr>
            <w:tcW w:w="4320" w:type="dxa"/>
            <w:gridSpan w:val="2"/>
            <w:shd w:val="clear" w:color="auto" w:fill="F2F2F2" w:themeFill="background1" w:themeFillShade="F2"/>
          </w:tcPr>
          <w:p w14:paraId="586B3F4A" w14:textId="0918DF35" w:rsidR="00D30E4D" w:rsidRPr="00616282" w:rsidRDefault="00D30E4D" w:rsidP="00FB0DA0">
            <w:pPr>
              <w:jc w:val="center"/>
              <w:rPr>
                <w:rFonts w:ascii="Calibri" w:hAnsi="Calibri" w:cs="Calibri"/>
                <w:b/>
                <w:bCs/>
                <w:color w:val="4472C4" w:themeColor="accent1"/>
                <w:lang w:val="en-GB"/>
              </w:rPr>
            </w:pPr>
            <w:r w:rsidRPr="00616282">
              <w:rPr>
                <w:rFonts w:ascii="Calibri" w:hAnsi="Calibri" w:cs="Calibri"/>
                <w:b/>
                <w:bCs/>
                <w:color w:val="4472C4" w:themeColor="accent1"/>
                <w:lang w:val="en-GB"/>
              </w:rPr>
              <w:t>IFRS S2</w:t>
            </w:r>
          </w:p>
        </w:tc>
        <w:tc>
          <w:tcPr>
            <w:tcW w:w="2721" w:type="dxa"/>
            <w:shd w:val="clear" w:color="auto" w:fill="F2F2F2" w:themeFill="background1" w:themeFillShade="F2"/>
          </w:tcPr>
          <w:p w14:paraId="2567EC3A" w14:textId="70BA2718" w:rsidR="00D30E4D" w:rsidRPr="00616282" w:rsidRDefault="00D30E4D" w:rsidP="0046333A">
            <w:pPr>
              <w:jc w:val="center"/>
              <w:rPr>
                <w:rFonts w:ascii="Calibri" w:hAnsi="Calibri" w:cs="Calibri"/>
                <w:b/>
                <w:color w:val="4472C4" w:themeColor="accent1"/>
                <w:lang w:val="en-GB"/>
              </w:rPr>
            </w:pPr>
            <w:r w:rsidRPr="00616282">
              <w:rPr>
                <w:rFonts w:ascii="Calibri" w:hAnsi="Calibri" w:cs="Calibri"/>
                <w:b/>
                <w:color w:val="4472C4" w:themeColor="accent1"/>
                <w:lang w:val="en-GB"/>
              </w:rPr>
              <w:t>BCBS</w:t>
            </w:r>
          </w:p>
        </w:tc>
      </w:tr>
      <w:tr w:rsidR="004009CA" w:rsidRPr="004725EE" w14:paraId="519B77D2" w14:textId="77777777" w:rsidTr="00CB4FD6">
        <w:trPr>
          <w:tblHeader/>
        </w:trPr>
        <w:tc>
          <w:tcPr>
            <w:tcW w:w="1975" w:type="dxa"/>
            <w:shd w:val="clear" w:color="auto" w:fill="FBE4D5" w:themeFill="accent2" w:themeFillTint="33"/>
          </w:tcPr>
          <w:p w14:paraId="4BA1A060" w14:textId="15B3ED1B" w:rsidR="004009CA" w:rsidRPr="00616282" w:rsidRDefault="00D30E4D" w:rsidP="00D30E4D">
            <w:pPr>
              <w:jc w:val="center"/>
              <w:rPr>
                <w:rFonts w:ascii="Calibri" w:hAnsi="Calibri" w:cs="Calibri"/>
                <w:b/>
                <w:bCs/>
                <w:color w:val="4472C4" w:themeColor="accent1"/>
                <w:lang w:val="en-GB"/>
              </w:rPr>
            </w:pPr>
            <w:r w:rsidRPr="00616282">
              <w:rPr>
                <w:rFonts w:ascii="Calibri" w:hAnsi="Calibri" w:cs="Calibri"/>
                <w:b/>
                <w:bCs/>
                <w:color w:val="4472C4" w:themeColor="accent1"/>
                <w:lang w:val="en-GB"/>
              </w:rPr>
              <w:t>Governance</w:t>
            </w:r>
          </w:p>
        </w:tc>
        <w:tc>
          <w:tcPr>
            <w:tcW w:w="1890" w:type="dxa"/>
            <w:shd w:val="clear" w:color="auto" w:fill="F2F2F2" w:themeFill="background1" w:themeFillShade="F2"/>
          </w:tcPr>
          <w:p w14:paraId="12925885" w14:textId="77777777" w:rsidR="004009CA" w:rsidRPr="00616282" w:rsidRDefault="004009CA" w:rsidP="00FB0DA0">
            <w:pPr>
              <w:jc w:val="center"/>
              <w:rPr>
                <w:rFonts w:ascii="Calibri" w:hAnsi="Calibri" w:cs="Calibri"/>
                <w:b/>
                <w:bCs/>
                <w:color w:val="4472C4" w:themeColor="accent1"/>
                <w:lang w:val="en-GB"/>
              </w:rPr>
            </w:pPr>
            <w:r w:rsidRPr="00616282">
              <w:rPr>
                <w:rFonts w:ascii="Calibri" w:hAnsi="Calibri" w:cs="Calibri"/>
                <w:b/>
                <w:bCs/>
                <w:color w:val="4472C4" w:themeColor="accent1"/>
                <w:lang w:val="en-GB"/>
              </w:rPr>
              <w:t>Topic</w:t>
            </w:r>
          </w:p>
        </w:tc>
        <w:tc>
          <w:tcPr>
            <w:tcW w:w="2430" w:type="dxa"/>
            <w:shd w:val="clear" w:color="auto" w:fill="F2F2F2" w:themeFill="background1" w:themeFillShade="F2"/>
          </w:tcPr>
          <w:p w14:paraId="135AB166" w14:textId="77777777" w:rsidR="004009CA" w:rsidRPr="00616282" w:rsidRDefault="004009CA" w:rsidP="00FB0DA0">
            <w:pPr>
              <w:jc w:val="center"/>
              <w:rPr>
                <w:rFonts w:ascii="Calibri" w:hAnsi="Calibri" w:cs="Calibri"/>
                <w:b/>
                <w:bCs/>
                <w:color w:val="4472C4" w:themeColor="accent1"/>
                <w:lang w:val="en-GB"/>
              </w:rPr>
            </w:pPr>
            <w:r w:rsidRPr="00616282">
              <w:rPr>
                <w:rFonts w:ascii="Calibri" w:hAnsi="Calibri" w:cs="Calibri"/>
                <w:b/>
                <w:bCs/>
                <w:color w:val="4472C4" w:themeColor="accent1"/>
                <w:lang w:val="en-GB"/>
              </w:rPr>
              <w:t>Description</w:t>
            </w:r>
          </w:p>
        </w:tc>
        <w:tc>
          <w:tcPr>
            <w:tcW w:w="2721" w:type="dxa"/>
            <w:shd w:val="clear" w:color="auto" w:fill="F2F2F2" w:themeFill="background1" w:themeFillShade="F2"/>
          </w:tcPr>
          <w:p w14:paraId="195449AF" w14:textId="329BD6A3" w:rsidR="004009CA" w:rsidRPr="00616282" w:rsidRDefault="004009CA" w:rsidP="00FB0DA0">
            <w:pPr>
              <w:jc w:val="center"/>
              <w:rPr>
                <w:rFonts w:ascii="Calibri" w:hAnsi="Calibri" w:cs="Calibri"/>
                <w:color w:val="4472C4" w:themeColor="accent1"/>
                <w:lang w:val="en-GB"/>
              </w:rPr>
            </w:pPr>
            <w:r w:rsidRPr="00616282">
              <w:rPr>
                <w:rFonts w:ascii="Calibri" w:hAnsi="Calibri" w:cs="Calibri"/>
                <w:b/>
                <w:color w:val="4472C4" w:themeColor="accent1"/>
                <w:lang w:val="en-GB"/>
              </w:rPr>
              <w:t>Principle</w:t>
            </w:r>
            <w:r w:rsidR="00D30E4D" w:rsidRPr="00616282">
              <w:rPr>
                <w:rFonts w:ascii="Calibri" w:hAnsi="Calibri" w:cs="Calibri"/>
                <w:b/>
                <w:color w:val="4472C4" w:themeColor="accent1"/>
                <w:lang w:val="en-GB"/>
              </w:rPr>
              <w:t>s</w:t>
            </w:r>
          </w:p>
        </w:tc>
      </w:tr>
      <w:tr w:rsidR="00AC2E96" w:rsidRPr="004725EE" w14:paraId="33198E8D" w14:textId="77777777" w:rsidTr="0090701E">
        <w:trPr>
          <w:trHeight w:val="2691"/>
        </w:trPr>
        <w:tc>
          <w:tcPr>
            <w:tcW w:w="1975" w:type="dxa"/>
            <w:vMerge w:val="restart"/>
            <w:shd w:val="clear" w:color="auto" w:fill="FBE4D5" w:themeFill="accent2" w:themeFillTint="33"/>
          </w:tcPr>
          <w:p w14:paraId="2F69C9A1" w14:textId="1F85FD0A" w:rsidR="00AC2E96" w:rsidRPr="00616282" w:rsidRDefault="00AC2E96" w:rsidP="00773AE9">
            <w:pPr>
              <w:rPr>
                <w:rFonts w:ascii="Calibri" w:hAnsi="Calibri" w:cs="Calibri"/>
                <w:b/>
                <w:bCs/>
                <w:color w:val="4472C4" w:themeColor="accent1"/>
                <w:lang w:val="en-GB"/>
              </w:rPr>
            </w:pPr>
          </w:p>
          <w:p w14:paraId="3EA2307D" w14:textId="22D17C10" w:rsidR="00AC2E96" w:rsidRPr="00616282" w:rsidRDefault="00AC2E96" w:rsidP="00773AE9">
            <w:pPr>
              <w:rPr>
                <w:rFonts w:ascii="Calibri" w:hAnsi="Calibri" w:cs="Calibri"/>
                <w:b/>
                <w:bCs/>
                <w:i/>
                <w:iCs/>
                <w:color w:val="4472C4" w:themeColor="accent1"/>
                <w:lang w:val="en-GB"/>
              </w:rPr>
            </w:pPr>
            <w:r w:rsidRPr="00616282">
              <w:rPr>
                <w:rFonts w:ascii="Calibri" w:hAnsi="Calibri" w:cs="Calibri"/>
                <w:b/>
                <w:bCs/>
                <w:i/>
                <w:iCs/>
                <w:color w:val="4472C4" w:themeColor="accent1"/>
                <w:lang w:val="en-GB"/>
              </w:rPr>
              <w:t>3.1 Responsibilities of the board and senior management</w:t>
            </w:r>
          </w:p>
          <w:p w14:paraId="22B55E7E" w14:textId="77777777" w:rsidR="00AC2E96" w:rsidRPr="00616282" w:rsidRDefault="00AC2E96" w:rsidP="00773AE9">
            <w:pPr>
              <w:rPr>
                <w:rFonts w:ascii="Calibri" w:hAnsi="Calibri" w:cs="Calibri"/>
                <w:b/>
                <w:bCs/>
                <w:i/>
                <w:iCs/>
                <w:color w:val="4472C4" w:themeColor="accent1"/>
                <w:lang w:val="en-GB"/>
              </w:rPr>
            </w:pPr>
          </w:p>
          <w:p w14:paraId="3CAB1A52" w14:textId="116BDD06" w:rsidR="00AC2E96" w:rsidRPr="00616282" w:rsidRDefault="00AC2E96" w:rsidP="00773AE9">
            <w:pPr>
              <w:rPr>
                <w:rFonts w:ascii="Calibri" w:hAnsi="Calibri" w:cs="Calibri"/>
                <w:b/>
                <w:bCs/>
                <w:i/>
                <w:iCs/>
                <w:color w:val="4472C4" w:themeColor="accent1"/>
                <w:lang w:val="en-GB"/>
              </w:rPr>
            </w:pPr>
            <w:r w:rsidRPr="00616282">
              <w:rPr>
                <w:rFonts w:ascii="Calibri" w:hAnsi="Calibri" w:cs="Calibri"/>
                <w:b/>
                <w:bCs/>
                <w:i/>
                <w:iCs/>
                <w:color w:val="4472C4" w:themeColor="accent1"/>
                <w:lang w:val="en-GB"/>
              </w:rPr>
              <w:t>3.2 Oversight</w:t>
            </w:r>
          </w:p>
          <w:p w14:paraId="5450846F" w14:textId="0CC5A09A" w:rsidR="00AC2E96" w:rsidRPr="00616282" w:rsidRDefault="00AC2E96" w:rsidP="00773AE9">
            <w:pPr>
              <w:rPr>
                <w:rFonts w:ascii="Calibri" w:hAnsi="Calibri" w:cs="Calibri"/>
                <w:b/>
                <w:bCs/>
                <w:color w:val="003299"/>
                <w:lang w:val="en-GB"/>
              </w:rPr>
            </w:pPr>
          </w:p>
        </w:tc>
        <w:tc>
          <w:tcPr>
            <w:tcW w:w="1890" w:type="dxa"/>
          </w:tcPr>
          <w:p w14:paraId="456A9F65" w14:textId="77777777" w:rsidR="00AC2E96" w:rsidRPr="00616282" w:rsidRDefault="00AC2E96" w:rsidP="00773AE9">
            <w:pPr>
              <w:rPr>
                <w:rFonts w:ascii="Calibri" w:hAnsi="Calibri" w:cs="Calibri"/>
                <w:color w:val="003299"/>
                <w:lang w:val="en-GB"/>
              </w:rPr>
            </w:pPr>
            <w:r w:rsidRPr="00616282">
              <w:rPr>
                <w:rFonts w:ascii="Calibri" w:hAnsi="Calibri" w:cs="Calibri"/>
                <w:b/>
                <w:bCs/>
                <w:color w:val="4472C4" w:themeColor="accent1"/>
                <w:lang w:val="en-GB"/>
              </w:rPr>
              <w:t>Governance body</w:t>
            </w:r>
          </w:p>
          <w:p w14:paraId="2FF58BAA" w14:textId="72492998" w:rsidR="00AC2E96" w:rsidRPr="00616282" w:rsidRDefault="00AC2E96" w:rsidP="00773AE9">
            <w:pPr>
              <w:rPr>
                <w:rFonts w:ascii="Calibri" w:hAnsi="Calibri" w:cs="Calibri"/>
                <w:color w:val="003299"/>
                <w:lang w:val="en-GB"/>
              </w:rPr>
            </w:pPr>
          </w:p>
        </w:tc>
        <w:tc>
          <w:tcPr>
            <w:tcW w:w="2430" w:type="dxa"/>
          </w:tcPr>
          <w:p w14:paraId="1F7E31E5" w14:textId="1851DDEF" w:rsidR="00AC2E96" w:rsidRPr="00616282" w:rsidRDefault="00AC2E96" w:rsidP="00773AE9">
            <w:pPr>
              <w:rPr>
                <w:rFonts w:ascii="Calibri" w:hAnsi="Calibri" w:cs="Calibri"/>
                <w:lang w:val="en-GB"/>
              </w:rPr>
            </w:pPr>
            <w:r w:rsidRPr="00616282">
              <w:rPr>
                <w:rFonts w:ascii="Calibri" w:hAnsi="Calibri" w:cs="Calibri"/>
                <w:lang w:val="en-GB"/>
              </w:rPr>
              <w:t xml:space="preserve">Board, </w:t>
            </w:r>
            <w:r w:rsidR="00DD4F7B" w:rsidRPr="00616282">
              <w:rPr>
                <w:rFonts w:ascii="Calibri" w:hAnsi="Calibri" w:cs="Calibri"/>
                <w:lang w:val="en-GB"/>
              </w:rPr>
              <w:t>committee,</w:t>
            </w:r>
            <w:r w:rsidRPr="00616282">
              <w:rPr>
                <w:rFonts w:ascii="Calibri" w:hAnsi="Calibri" w:cs="Calibri"/>
                <w:lang w:val="en-GB"/>
              </w:rPr>
              <w:t xml:space="preserve"> or equivalent body charged with governance or individual(s) responsible for oversight of climate-related risks and opportunities. </w:t>
            </w:r>
          </w:p>
          <w:p w14:paraId="79FBBD77" w14:textId="77777777" w:rsidR="00AC2E96" w:rsidRPr="00616282" w:rsidRDefault="00AC2E96" w:rsidP="00773AE9">
            <w:pPr>
              <w:rPr>
                <w:rFonts w:ascii="Calibri" w:hAnsi="Calibri" w:cs="Calibri"/>
                <w:lang w:val="en-GB"/>
              </w:rPr>
            </w:pPr>
          </w:p>
        </w:tc>
        <w:tc>
          <w:tcPr>
            <w:tcW w:w="2721" w:type="dxa"/>
          </w:tcPr>
          <w:p w14:paraId="12AA8769" w14:textId="0EC22D4A" w:rsidR="00AC2E96" w:rsidRPr="00CB4FD6" w:rsidRDefault="00AC2E96" w:rsidP="00CB4FD6">
            <w:pPr>
              <w:rPr>
                <w:rFonts w:ascii="Calibri" w:hAnsi="Calibri" w:cs="Calibri"/>
                <w:lang w:val="en-GB"/>
              </w:rPr>
            </w:pPr>
            <w:r w:rsidRPr="00CB4FD6">
              <w:rPr>
                <w:rFonts w:ascii="Calibri" w:hAnsi="Calibri" w:cs="Calibri"/>
                <w:b/>
                <w:bCs/>
                <w:lang w:val="en-GB"/>
              </w:rPr>
              <w:t>Principle 2:</w:t>
            </w:r>
            <w:r w:rsidRPr="00CB4FD6">
              <w:rPr>
                <w:rFonts w:ascii="Calibri" w:hAnsi="Calibri" w:cs="Calibri"/>
                <w:lang w:val="en-GB"/>
              </w:rPr>
              <w:t xml:space="preserve"> The board and senior management should clearly assign climate-related responsibilities to members and/or committees and exercise effective oversight of climate-related financial risks. Further, the board and senior management should identify responsibilities for climate-related risk management throughout the organisational structure.</w:t>
            </w:r>
          </w:p>
        </w:tc>
      </w:tr>
      <w:tr w:rsidR="00AC2E96" w:rsidRPr="004725EE" w14:paraId="44E545BC" w14:textId="77777777" w:rsidTr="0090701E">
        <w:tc>
          <w:tcPr>
            <w:tcW w:w="1975" w:type="dxa"/>
            <w:vMerge/>
            <w:shd w:val="clear" w:color="auto" w:fill="FBE4D5" w:themeFill="accent2" w:themeFillTint="33"/>
          </w:tcPr>
          <w:p w14:paraId="13A53127" w14:textId="77777777" w:rsidR="00AC2E96" w:rsidRPr="00616282" w:rsidDel="00D30E4D" w:rsidRDefault="00AC2E96" w:rsidP="00773AE9">
            <w:pPr>
              <w:rPr>
                <w:rFonts w:ascii="Calibri" w:hAnsi="Calibri" w:cs="Calibri"/>
                <w:b/>
                <w:bCs/>
                <w:color w:val="4472C4" w:themeColor="accent1"/>
                <w:lang w:val="en-GB"/>
              </w:rPr>
            </w:pPr>
          </w:p>
        </w:tc>
        <w:tc>
          <w:tcPr>
            <w:tcW w:w="1890" w:type="dxa"/>
            <w:vMerge w:val="restart"/>
          </w:tcPr>
          <w:p w14:paraId="435B611C" w14:textId="2C3DE52E" w:rsidR="00AC2E96" w:rsidRPr="00616282" w:rsidRDefault="00AC2E96" w:rsidP="00773AE9">
            <w:pPr>
              <w:rPr>
                <w:rFonts w:ascii="Calibri" w:hAnsi="Calibri" w:cs="Calibri"/>
                <w:b/>
                <w:bCs/>
                <w:color w:val="4472C4" w:themeColor="accent1"/>
                <w:lang w:val="en-GB"/>
              </w:rPr>
            </w:pPr>
            <w:r w:rsidRPr="00616282">
              <w:rPr>
                <w:rFonts w:ascii="Calibri" w:hAnsi="Calibri" w:cs="Calibri"/>
                <w:b/>
                <w:bCs/>
                <w:color w:val="4472C4" w:themeColor="accent1"/>
                <w:lang w:val="en-GB"/>
              </w:rPr>
              <w:t>Management’s role</w:t>
            </w:r>
          </w:p>
        </w:tc>
        <w:tc>
          <w:tcPr>
            <w:tcW w:w="2430" w:type="dxa"/>
            <w:vMerge w:val="restart"/>
          </w:tcPr>
          <w:p w14:paraId="5D8DD506" w14:textId="77777777" w:rsidR="00AC2E96" w:rsidRPr="00616282" w:rsidRDefault="00AC2E96" w:rsidP="00773AE9">
            <w:pPr>
              <w:rPr>
                <w:rFonts w:ascii="Calibri" w:hAnsi="Calibri" w:cs="Calibri"/>
                <w:lang w:val="en-GB"/>
              </w:rPr>
            </w:pPr>
            <w:r w:rsidRPr="00616282">
              <w:rPr>
                <w:rFonts w:ascii="Calibri" w:hAnsi="Calibri" w:cs="Calibri"/>
                <w:lang w:val="en-GB"/>
              </w:rPr>
              <w:t xml:space="preserve">Definition and oversight of the </w:t>
            </w:r>
            <w:r w:rsidRPr="00616282">
              <w:rPr>
                <w:rFonts w:ascii="Calibri" w:hAnsi="Calibri" w:cs="Calibri"/>
                <w:lang w:val="en-GB"/>
              </w:rPr>
              <w:lastRenderedPageBreak/>
              <w:t>delegated management-level position or committee responsible for climate risk considerations.</w:t>
            </w:r>
          </w:p>
          <w:p w14:paraId="253233AE" w14:textId="77777777" w:rsidR="00AC2E96" w:rsidRPr="00616282" w:rsidRDefault="00AC2E96" w:rsidP="00773AE9">
            <w:pPr>
              <w:rPr>
                <w:rFonts w:ascii="Calibri" w:hAnsi="Calibri" w:cs="Calibri"/>
                <w:lang w:val="en-GB"/>
              </w:rPr>
            </w:pPr>
          </w:p>
          <w:p w14:paraId="11F54E4A" w14:textId="77777777" w:rsidR="00AC2E96" w:rsidRPr="00616282" w:rsidRDefault="00AC2E96" w:rsidP="00773AE9">
            <w:pPr>
              <w:rPr>
                <w:rFonts w:ascii="Calibri" w:hAnsi="Calibri" w:cs="Calibri"/>
                <w:lang w:val="en-GB"/>
              </w:rPr>
            </w:pPr>
            <w:r w:rsidRPr="00616282">
              <w:rPr>
                <w:rFonts w:ascii="Calibri" w:hAnsi="Calibri" w:cs="Calibri"/>
                <w:lang w:val="en-GB"/>
              </w:rPr>
              <w:t>Integration of controls and procedures to support the oversight of climate-related risks and opportunities, and its integration with other internal functions.</w:t>
            </w:r>
          </w:p>
          <w:p w14:paraId="23A95500" w14:textId="77777777" w:rsidR="00AC2E96" w:rsidRPr="00616282" w:rsidRDefault="00AC2E96" w:rsidP="00773AE9">
            <w:pPr>
              <w:rPr>
                <w:rFonts w:ascii="Calibri" w:hAnsi="Calibri" w:cs="Calibri"/>
                <w:lang w:val="en-GB"/>
              </w:rPr>
            </w:pPr>
          </w:p>
        </w:tc>
        <w:tc>
          <w:tcPr>
            <w:tcW w:w="2721" w:type="dxa"/>
          </w:tcPr>
          <w:p w14:paraId="322EB512" w14:textId="32E81D85" w:rsidR="00AC2E96" w:rsidRPr="00616282" w:rsidDel="00162533" w:rsidRDefault="00AC2E96" w:rsidP="00773AE9">
            <w:pPr>
              <w:pStyle w:val="NormalWeb"/>
              <w:rPr>
                <w:rFonts w:ascii="Calibri" w:hAnsi="Calibri" w:cs="Calibri"/>
                <w:lang w:val="en-GB"/>
              </w:rPr>
            </w:pPr>
            <w:r w:rsidRPr="00616282">
              <w:rPr>
                <w:rFonts w:ascii="Calibri" w:hAnsi="Calibri" w:cs="Calibri"/>
                <w:b/>
                <w:bCs/>
                <w:lang w:val="en-GB"/>
              </w:rPr>
              <w:lastRenderedPageBreak/>
              <w:t>Principle 3:</w:t>
            </w:r>
            <w:r w:rsidRPr="00616282">
              <w:rPr>
                <w:rFonts w:ascii="Calibri" w:hAnsi="Calibri" w:cs="Calibri"/>
                <w:lang w:val="en-GB"/>
              </w:rPr>
              <w:t xml:space="preserve"> Banks should adopt appropriate </w:t>
            </w:r>
            <w:r w:rsidRPr="00616282">
              <w:rPr>
                <w:rFonts w:ascii="Calibri" w:hAnsi="Calibri" w:cs="Calibri"/>
                <w:lang w:val="en-GB"/>
              </w:rPr>
              <w:lastRenderedPageBreak/>
              <w:t>policies, procedures and controls that are implemented across the entire organisation to ensure effective management of climate-related financial risks.</w:t>
            </w:r>
          </w:p>
        </w:tc>
      </w:tr>
      <w:tr w:rsidR="00AC2E96" w:rsidRPr="004725EE" w14:paraId="05CB139C" w14:textId="77777777" w:rsidTr="0090701E">
        <w:tc>
          <w:tcPr>
            <w:tcW w:w="1975" w:type="dxa"/>
            <w:vMerge/>
            <w:shd w:val="clear" w:color="auto" w:fill="FBE4D5" w:themeFill="accent2" w:themeFillTint="33"/>
          </w:tcPr>
          <w:p w14:paraId="2C3FB70D" w14:textId="77777777" w:rsidR="00AC2E96" w:rsidRPr="00616282" w:rsidRDefault="00AC2E96" w:rsidP="00773AE9">
            <w:pPr>
              <w:rPr>
                <w:rFonts w:ascii="Calibri" w:hAnsi="Calibri" w:cs="Calibri"/>
                <w:b/>
                <w:bCs/>
                <w:color w:val="003299"/>
                <w:lang w:val="en-GB"/>
              </w:rPr>
            </w:pPr>
          </w:p>
        </w:tc>
        <w:tc>
          <w:tcPr>
            <w:tcW w:w="1890" w:type="dxa"/>
            <w:vMerge/>
          </w:tcPr>
          <w:p w14:paraId="235E3C8D" w14:textId="77777777" w:rsidR="00AC2E96" w:rsidRPr="00616282" w:rsidRDefault="00AC2E96" w:rsidP="00773AE9">
            <w:pPr>
              <w:rPr>
                <w:rFonts w:ascii="Calibri" w:hAnsi="Calibri" w:cs="Calibri"/>
                <w:b/>
                <w:bCs/>
                <w:color w:val="4472C4" w:themeColor="accent1"/>
                <w:lang w:val="en-GB"/>
              </w:rPr>
            </w:pPr>
          </w:p>
        </w:tc>
        <w:tc>
          <w:tcPr>
            <w:tcW w:w="2430" w:type="dxa"/>
            <w:vMerge/>
          </w:tcPr>
          <w:p w14:paraId="7145A3FE" w14:textId="77777777" w:rsidR="00AC2E96" w:rsidRPr="00616282" w:rsidRDefault="00AC2E96" w:rsidP="00773AE9">
            <w:pPr>
              <w:rPr>
                <w:rFonts w:ascii="Calibri" w:hAnsi="Calibri" w:cs="Calibri"/>
                <w:lang w:val="en-GB"/>
              </w:rPr>
            </w:pPr>
          </w:p>
        </w:tc>
        <w:tc>
          <w:tcPr>
            <w:tcW w:w="2721" w:type="dxa"/>
          </w:tcPr>
          <w:p w14:paraId="17B13F03" w14:textId="17BBDDB6" w:rsidR="00AC2E96" w:rsidRPr="00616282" w:rsidRDefault="00AC2E96" w:rsidP="00773AE9">
            <w:pPr>
              <w:pStyle w:val="NormalWeb"/>
              <w:rPr>
                <w:rFonts w:ascii="Calibri" w:hAnsi="Calibri" w:cs="Calibri"/>
                <w:lang w:val="en-GB"/>
              </w:rPr>
            </w:pPr>
            <w:r w:rsidRPr="00616282">
              <w:rPr>
                <w:rFonts w:ascii="Calibri" w:hAnsi="Calibri" w:cs="Calibri"/>
                <w:b/>
                <w:bCs/>
                <w:lang w:val="en-GB"/>
              </w:rPr>
              <w:t>Principle 4:</w:t>
            </w:r>
            <w:r w:rsidRPr="00616282">
              <w:rPr>
                <w:rFonts w:ascii="Calibri" w:hAnsi="Calibri" w:cs="Calibri"/>
                <w:lang w:val="en-GB"/>
              </w:rPr>
              <w:t xml:space="preserve"> Banks should incorporate climate-related financial risks into their internal control frameworks across the three lines of defence to ensure sound, comprehensive and effective identification, </w:t>
            </w:r>
            <w:r w:rsidR="00DD4F7B" w:rsidRPr="00616282">
              <w:rPr>
                <w:rFonts w:ascii="Calibri" w:hAnsi="Calibri" w:cs="Calibri"/>
                <w:lang w:val="en-GB"/>
              </w:rPr>
              <w:t>measurement,</w:t>
            </w:r>
            <w:r w:rsidRPr="00616282">
              <w:rPr>
                <w:rFonts w:ascii="Calibri" w:hAnsi="Calibri" w:cs="Calibri"/>
                <w:lang w:val="en-GB"/>
              </w:rPr>
              <w:t xml:space="preserve"> and mitigation of material climate-related financial risks. </w:t>
            </w:r>
          </w:p>
        </w:tc>
      </w:tr>
    </w:tbl>
    <w:p w14:paraId="2D82D7D7" w14:textId="77777777" w:rsidR="000E66F2" w:rsidRPr="00616282" w:rsidRDefault="000E66F2" w:rsidP="00FB0DA0">
      <w:pPr>
        <w:outlineLvl w:val="0"/>
        <w:rPr>
          <w:rFonts w:ascii="Calibri" w:hAnsi="Calibri" w:cs="Calibri"/>
          <w:b/>
          <w:bCs/>
          <w:color w:val="ED7D31" w:themeColor="accent2"/>
          <w:lang w:val="en-GB"/>
        </w:rPr>
      </w:pPr>
    </w:p>
    <w:p w14:paraId="1B5B6D20" w14:textId="73F570C3" w:rsidR="00E87C8D" w:rsidRPr="0090701E" w:rsidRDefault="008244BE" w:rsidP="00616282">
      <w:pPr>
        <w:pStyle w:val="Heading3"/>
        <w:rPr>
          <w:rFonts w:ascii="Calibri" w:hAnsi="Calibri" w:cs="Calibri"/>
          <w:sz w:val="24"/>
          <w:szCs w:val="28"/>
        </w:rPr>
      </w:pPr>
      <w:bookmarkStart w:id="40" w:name="_Toc167079293"/>
      <w:bookmarkStart w:id="41" w:name="_Toc167079483"/>
      <w:bookmarkStart w:id="42" w:name="_Toc171908184"/>
      <w:r w:rsidRPr="0090701E">
        <w:rPr>
          <w:rFonts w:ascii="Calibri" w:hAnsi="Calibri" w:cs="Calibri"/>
          <w:sz w:val="24"/>
          <w:szCs w:val="28"/>
        </w:rPr>
        <w:t xml:space="preserve">Best practice </w:t>
      </w:r>
      <w:r w:rsidR="00E87C8D" w:rsidRPr="0090701E">
        <w:rPr>
          <w:rFonts w:ascii="Calibri" w:hAnsi="Calibri" w:cs="Calibri"/>
          <w:sz w:val="24"/>
          <w:szCs w:val="28"/>
        </w:rPr>
        <w:t>on governance</w:t>
      </w:r>
      <w:bookmarkEnd w:id="40"/>
      <w:bookmarkEnd w:id="41"/>
      <w:bookmarkEnd w:id="42"/>
    </w:p>
    <w:p w14:paraId="03279DCF" w14:textId="77777777" w:rsidR="00E87C8D" w:rsidRPr="00616282" w:rsidRDefault="00E87C8D" w:rsidP="00464033">
      <w:pPr>
        <w:jc w:val="both"/>
        <w:rPr>
          <w:rFonts w:ascii="Calibri" w:hAnsi="Calibri" w:cs="Calibri"/>
          <w:b/>
          <w:color w:val="ED7D31" w:themeColor="accent2"/>
          <w:lang w:val="en-GB"/>
        </w:rPr>
      </w:pPr>
    </w:p>
    <w:p w14:paraId="72ED7E2A" w14:textId="0B37CD05" w:rsidR="00A60FB1" w:rsidRPr="00616282" w:rsidRDefault="00A60FB1" w:rsidP="00464033">
      <w:pPr>
        <w:jc w:val="both"/>
        <w:rPr>
          <w:rFonts w:ascii="Calibri" w:hAnsi="Calibri" w:cs="Calibri"/>
          <w:lang w:val="en-GB"/>
        </w:rPr>
      </w:pPr>
      <w:r w:rsidRPr="00616282">
        <w:rPr>
          <w:rFonts w:ascii="Calibri" w:hAnsi="Calibri" w:cs="Calibri"/>
          <w:lang w:val="en-GB"/>
        </w:rPr>
        <w:t xml:space="preserve">At the Board level, there are primarily four configurations commonly utilized. </w:t>
      </w:r>
    </w:p>
    <w:p w14:paraId="2E81492F" w14:textId="77777777" w:rsidR="00A60FB1" w:rsidRPr="00616282" w:rsidRDefault="00A60FB1" w:rsidP="00464033">
      <w:pPr>
        <w:jc w:val="both"/>
        <w:rPr>
          <w:rFonts w:ascii="Calibri" w:hAnsi="Calibri" w:cs="Calibri"/>
          <w:lang w:val="en-GB"/>
        </w:rPr>
      </w:pPr>
    </w:p>
    <w:p w14:paraId="4F16F0CE" w14:textId="3DB7E4C1" w:rsidR="00A60FB1" w:rsidRPr="00616282" w:rsidRDefault="00A60FB1" w:rsidP="00616282">
      <w:pPr>
        <w:rPr>
          <w:rFonts w:ascii="Calibri" w:hAnsi="Calibri" w:cs="Calibri"/>
          <w:b/>
          <w:bCs/>
          <w:color w:val="ED7D31" w:themeColor="accent2"/>
          <w:lang w:val="en-GB"/>
        </w:rPr>
      </w:pPr>
      <w:bookmarkStart w:id="43" w:name="_Toc167079294"/>
      <w:bookmarkStart w:id="44" w:name="_Toc167079484"/>
      <w:bookmarkStart w:id="45" w:name="_Toc175223818"/>
      <w:r w:rsidRPr="00616282">
        <w:rPr>
          <w:rFonts w:ascii="Calibri" w:hAnsi="Calibri" w:cs="Calibri"/>
          <w:b/>
          <w:bCs/>
          <w:color w:val="ED7D31" w:themeColor="accent2"/>
          <w:lang w:val="en-GB"/>
        </w:rPr>
        <w:t xml:space="preserve">Figure </w:t>
      </w:r>
      <w:r w:rsidRPr="00616282">
        <w:rPr>
          <w:rFonts w:ascii="Calibri" w:hAnsi="Calibri" w:cs="Calibri"/>
          <w:b/>
          <w:bCs/>
          <w:color w:val="ED7D31" w:themeColor="accent2"/>
          <w:lang w:val="en-GB"/>
        </w:rPr>
        <w:fldChar w:fldCharType="begin"/>
      </w:r>
      <w:r w:rsidRPr="00616282">
        <w:rPr>
          <w:rFonts w:ascii="Calibri" w:hAnsi="Calibri" w:cs="Calibri"/>
          <w:b/>
          <w:bCs/>
          <w:color w:val="ED7D31" w:themeColor="accent2"/>
          <w:lang w:val="en-GB"/>
        </w:rPr>
        <w:instrText xml:space="preserve"> SEQ Figure \* ARABIC </w:instrText>
      </w:r>
      <w:r w:rsidRPr="00616282">
        <w:rPr>
          <w:rFonts w:ascii="Calibri" w:hAnsi="Calibri" w:cs="Calibri"/>
          <w:b/>
          <w:bCs/>
          <w:color w:val="ED7D31" w:themeColor="accent2"/>
          <w:lang w:val="en-GB"/>
        </w:rPr>
        <w:fldChar w:fldCharType="separate"/>
      </w:r>
      <w:r w:rsidR="0096670A">
        <w:rPr>
          <w:rFonts w:ascii="Calibri" w:hAnsi="Calibri" w:cs="Calibri"/>
          <w:b/>
          <w:bCs/>
          <w:noProof/>
          <w:color w:val="ED7D31" w:themeColor="accent2"/>
          <w:lang w:val="en-GB"/>
        </w:rPr>
        <w:t>3</w:t>
      </w:r>
      <w:r w:rsidRPr="00616282">
        <w:rPr>
          <w:rFonts w:ascii="Calibri" w:hAnsi="Calibri" w:cs="Calibri"/>
          <w:b/>
          <w:bCs/>
          <w:color w:val="ED7D31" w:themeColor="accent2"/>
          <w:lang w:val="en-GB"/>
        </w:rPr>
        <w:fldChar w:fldCharType="end"/>
      </w:r>
      <w:r w:rsidRPr="00616282">
        <w:rPr>
          <w:rFonts w:ascii="Calibri" w:hAnsi="Calibri" w:cs="Calibri"/>
          <w:b/>
          <w:bCs/>
          <w:color w:val="ED7D31" w:themeColor="accent2"/>
          <w:lang w:val="en-GB"/>
        </w:rPr>
        <w:t xml:space="preserve">: Board configurations to integrate </w:t>
      </w:r>
      <w:r w:rsidR="0008057D">
        <w:rPr>
          <w:rFonts w:ascii="Calibri" w:hAnsi="Calibri" w:cs="Calibri"/>
          <w:b/>
          <w:bCs/>
          <w:color w:val="ED7D31" w:themeColor="accent2"/>
          <w:lang w:val="en-GB"/>
        </w:rPr>
        <w:t>climate-related</w:t>
      </w:r>
      <w:r w:rsidRPr="00616282">
        <w:rPr>
          <w:rFonts w:ascii="Calibri" w:hAnsi="Calibri" w:cs="Calibri"/>
          <w:b/>
          <w:bCs/>
          <w:color w:val="ED7D31" w:themeColor="accent2"/>
          <w:lang w:val="en-GB"/>
        </w:rPr>
        <w:t xml:space="preserve"> issues in decision making for banks</w:t>
      </w:r>
      <w:bookmarkEnd w:id="43"/>
      <w:bookmarkEnd w:id="44"/>
      <w:bookmarkEnd w:id="45"/>
    </w:p>
    <w:p w14:paraId="5FB21432" w14:textId="693252F7" w:rsidR="00A60FB1" w:rsidRPr="00616282" w:rsidRDefault="00D77195" w:rsidP="00CB4FD6">
      <w:pPr>
        <w:jc w:val="center"/>
        <w:rPr>
          <w:rFonts w:ascii="Calibri" w:hAnsi="Calibri" w:cs="Calibri"/>
          <w:lang w:val="en-GB"/>
        </w:rPr>
      </w:pPr>
      <w:r w:rsidRPr="00616282">
        <w:rPr>
          <w:rFonts w:ascii="Calibri" w:hAnsi="Calibri" w:cs="Calibri"/>
          <w:noProof/>
        </w:rPr>
        <w:drawing>
          <wp:inline distT="0" distB="0" distL="0" distR="0" wp14:anchorId="367EA115" wp14:editId="64CF5E3F">
            <wp:extent cx="5006405" cy="1310674"/>
            <wp:effectExtent l="0" t="0" r="0" b="0"/>
            <wp:docPr id="209872823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8728236" name=""/>
                    <pic:cNvPicPr/>
                  </pic:nvPicPr>
                  <pic:blipFill>
                    <a:blip r:embed="rId20"/>
                    <a:stretch>
                      <a:fillRect/>
                    </a:stretch>
                  </pic:blipFill>
                  <pic:spPr>
                    <a:xfrm>
                      <a:off x="0" y="0"/>
                      <a:ext cx="5039515" cy="1319342"/>
                    </a:xfrm>
                    <a:prstGeom prst="rect">
                      <a:avLst/>
                    </a:prstGeom>
                  </pic:spPr>
                </pic:pic>
              </a:graphicData>
            </a:graphic>
          </wp:inline>
        </w:drawing>
      </w:r>
    </w:p>
    <w:p w14:paraId="28E0C30F" w14:textId="77777777" w:rsidR="00A60FB1" w:rsidRPr="00616282" w:rsidRDefault="00A60FB1" w:rsidP="00464033">
      <w:pPr>
        <w:jc w:val="both"/>
        <w:rPr>
          <w:rFonts w:ascii="Calibri" w:hAnsi="Calibri" w:cs="Calibri"/>
          <w:lang w:val="en-GB"/>
        </w:rPr>
      </w:pPr>
    </w:p>
    <w:p w14:paraId="3885E382" w14:textId="29FC0283" w:rsidR="00A60FB1" w:rsidRPr="00616282" w:rsidRDefault="001F4186" w:rsidP="00464033">
      <w:pPr>
        <w:jc w:val="both"/>
        <w:rPr>
          <w:rFonts w:ascii="Calibri" w:hAnsi="Calibri" w:cs="Calibri"/>
          <w:b/>
          <w:color w:val="ED7D31" w:themeColor="accent2"/>
          <w:lang w:val="en-GB"/>
        </w:rPr>
      </w:pPr>
      <w:r w:rsidRPr="00616282">
        <w:rPr>
          <w:rFonts w:ascii="Calibri" w:hAnsi="Calibri" w:cs="Calibri"/>
          <w:lang w:val="en-GB"/>
        </w:rPr>
        <w:t>Further guidance is provided below on common approaches by both the Board and management in</w:t>
      </w:r>
      <w:r w:rsidR="00DF219B" w:rsidRPr="00616282">
        <w:rPr>
          <w:rFonts w:ascii="Calibri" w:hAnsi="Calibri" w:cs="Calibri"/>
          <w:lang w:val="en-GB"/>
        </w:rPr>
        <w:t xml:space="preserve"> embedding </w:t>
      </w:r>
      <w:r w:rsidRPr="00616282">
        <w:rPr>
          <w:rFonts w:ascii="Calibri" w:hAnsi="Calibri" w:cs="Calibri"/>
          <w:lang w:val="en-GB"/>
        </w:rPr>
        <w:t>climate-related issues</w:t>
      </w:r>
      <w:r w:rsidR="00DF219B" w:rsidRPr="00616282">
        <w:rPr>
          <w:rFonts w:ascii="Calibri" w:hAnsi="Calibri" w:cs="Calibri"/>
          <w:lang w:val="en-GB"/>
        </w:rPr>
        <w:t xml:space="preserve"> into their work agenda, </w:t>
      </w:r>
      <w:r w:rsidR="00773AE9">
        <w:rPr>
          <w:rFonts w:ascii="Calibri" w:hAnsi="Calibri" w:cs="Calibri"/>
          <w:lang w:val="en-GB"/>
        </w:rPr>
        <w:t>along</w:t>
      </w:r>
      <w:r w:rsidR="00773AE9" w:rsidRPr="00616282">
        <w:rPr>
          <w:rFonts w:ascii="Calibri" w:hAnsi="Calibri" w:cs="Calibri"/>
          <w:lang w:val="en-GB"/>
        </w:rPr>
        <w:t xml:space="preserve"> </w:t>
      </w:r>
      <w:r w:rsidR="00DF219B" w:rsidRPr="00616282">
        <w:rPr>
          <w:rFonts w:ascii="Calibri" w:hAnsi="Calibri" w:cs="Calibri"/>
          <w:lang w:val="en-GB"/>
        </w:rPr>
        <w:t xml:space="preserve">with the allocation and definition of resources </w:t>
      </w:r>
      <w:r w:rsidR="00773AE9">
        <w:rPr>
          <w:rFonts w:ascii="Calibri" w:hAnsi="Calibri" w:cs="Calibri"/>
          <w:lang w:val="en-GB"/>
        </w:rPr>
        <w:t>and</w:t>
      </w:r>
      <w:r w:rsidR="00773AE9" w:rsidRPr="00616282">
        <w:rPr>
          <w:rFonts w:ascii="Calibri" w:hAnsi="Calibri" w:cs="Calibri"/>
          <w:lang w:val="en-GB"/>
        </w:rPr>
        <w:t xml:space="preserve"> </w:t>
      </w:r>
      <w:r w:rsidR="00DF219B" w:rsidRPr="00616282">
        <w:rPr>
          <w:rFonts w:ascii="Calibri" w:hAnsi="Calibri" w:cs="Calibri"/>
          <w:lang w:val="en-GB"/>
        </w:rPr>
        <w:t>processes for climate risk management.</w:t>
      </w:r>
      <w:r w:rsidR="00DF219B" w:rsidRPr="00616282">
        <w:rPr>
          <w:rFonts w:ascii="Calibri" w:hAnsi="Calibri" w:cs="Calibri"/>
          <w:b/>
          <w:color w:val="ED7D31" w:themeColor="accent2"/>
          <w:lang w:val="en-GB"/>
        </w:rPr>
        <w:t xml:space="preserve"> </w:t>
      </w:r>
    </w:p>
    <w:p w14:paraId="5A6C6A4A" w14:textId="77777777" w:rsidR="00DF6060" w:rsidRPr="00616282" w:rsidRDefault="00DF6060" w:rsidP="00464033">
      <w:pPr>
        <w:jc w:val="both"/>
        <w:rPr>
          <w:rFonts w:ascii="Calibri" w:hAnsi="Calibri" w:cs="Calibri"/>
          <w:b/>
          <w:color w:val="ED7D31" w:themeColor="accent2"/>
          <w:lang w:val="en-GB"/>
        </w:rPr>
      </w:pPr>
    </w:p>
    <w:p w14:paraId="478B300D" w14:textId="77777777" w:rsidR="00157082" w:rsidRDefault="00157082">
      <w:pPr>
        <w:rPr>
          <w:rFonts w:ascii="Calibri" w:hAnsi="Calibri" w:cs="Calibri"/>
          <w:b/>
          <w:bCs/>
          <w:color w:val="ED7D31" w:themeColor="accent2"/>
          <w:lang w:val="en-GB"/>
        </w:rPr>
      </w:pPr>
      <w:bookmarkStart w:id="46" w:name="_Toc171908202"/>
      <w:r>
        <w:rPr>
          <w:rFonts w:ascii="Calibri" w:hAnsi="Calibri" w:cs="Calibri"/>
          <w:b/>
          <w:bCs/>
          <w:color w:val="ED7D31" w:themeColor="accent2"/>
          <w:lang w:val="en-GB"/>
        </w:rPr>
        <w:br w:type="page"/>
      </w:r>
    </w:p>
    <w:p w14:paraId="0C9E2893" w14:textId="09FA3D30" w:rsidR="003E5FB0" w:rsidRPr="00616282" w:rsidRDefault="00DF6060">
      <w:pPr>
        <w:rPr>
          <w:rFonts w:ascii="Calibri" w:hAnsi="Calibri" w:cs="Calibri"/>
          <w:b/>
          <w:bCs/>
          <w:color w:val="ED7D31" w:themeColor="accent2"/>
          <w:lang w:val="en-GB"/>
        </w:rPr>
      </w:pPr>
      <w:r w:rsidRPr="00616282">
        <w:rPr>
          <w:rFonts w:ascii="Calibri" w:hAnsi="Calibri" w:cs="Calibri"/>
          <w:b/>
          <w:bCs/>
          <w:color w:val="ED7D31" w:themeColor="accent2"/>
          <w:lang w:val="en-GB"/>
        </w:rPr>
        <w:lastRenderedPageBreak/>
        <w:t xml:space="preserve">Table </w:t>
      </w:r>
      <w:r w:rsidRPr="00616282">
        <w:rPr>
          <w:rFonts w:ascii="Calibri" w:hAnsi="Calibri" w:cs="Calibri"/>
          <w:b/>
          <w:bCs/>
          <w:color w:val="ED7D31" w:themeColor="accent2"/>
          <w:lang w:val="en-GB"/>
        </w:rPr>
        <w:fldChar w:fldCharType="begin"/>
      </w:r>
      <w:r w:rsidRPr="00616282">
        <w:rPr>
          <w:rFonts w:ascii="Calibri" w:hAnsi="Calibri" w:cs="Calibri"/>
          <w:b/>
          <w:bCs/>
          <w:color w:val="ED7D31" w:themeColor="accent2"/>
          <w:lang w:val="en-GB"/>
        </w:rPr>
        <w:instrText xml:space="preserve"> SEQ Table \* ARABIC </w:instrText>
      </w:r>
      <w:r w:rsidRPr="00616282">
        <w:rPr>
          <w:rFonts w:ascii="Calibri" w:hAnsi="Calibri" w:cs="Calibri"/>
          <w:b/>
          <w:bCs/>
          <w:color w:val="ED7D31" w:themeColor="accent2"/>
          <w:lang w:val="en-GB"/>
        </w:rPr>
        <w:fldChar w:fldCharType="separate"/>
      </w:r>
      <w:r w:rsidR="0096670A">
        <w:rPr>
          <w:rFonts w:ascii="Calibri" w:hAnsi="Calibri" w:cs="Calibri"/>
          <w:b/>
          <w:bCs/>
          <w:noProof/>
          <w:color w:val="ED7D31" w:themeColor="accent2"/>
          <w:lang w:val="en-GB"/>
        </w:rPr>
        <w:t>8</w:t>
      </w:r>
      <w:r w:rsidRPr="00616282">
        <w:rPr>
          <w:rFonts w:ascii="Calibri" w:hAnsi="Calibri" w:cs="Calibri"/>
          <w:b/>
          <w:bCs/>
          <w:color w:val="ED7D31" w:themeColor="accent2"/>
          <w:lang w:val="en-GB"/>
        </w:rPr>
        <w:fldChar w:fldCharType="end"/>
      </w:r>
      <w:r w:rsidRPr="00616282">
        <w:rPr>
          <w:rFonts w:ascii="Calibri" w:hAnsi="Calibri" w:cs="Calibri"/>
          <w:b/>
          <w:bCs/>
          <w:color w:val="ED7D31" w:themeColor="accent2"/>
          <w:lang w:val="en-GB"/>
        </w:rPr>
        <w:t xml:space="preserve">. Adopting climate risk in the governance of </w:t>
      </w:r>
      <w:r w:rsidR="0034791F" w:rsidRPr="00616282">
        <w:rPr>
          <w:rFonts w:ascii="Calibri" w:hAnsi="Calibri" w:cs="Calibri"/>
          <w:b/>
          <w:bCs/>
          <w:color w:val="ED7D31" w:themeColor="accent2"/>
          <w:lang w:val="en-GB"/>
        </w:rPr>
        <w:t>financial institutions</w:t>
      </w:r>
      <w:bookmarkEnd w:id="46"/>
    </w:p>
    <w:p w14:paraId="042921E6" w14:textId="77777777" w:rsidR="00A74BD5" w:rsidRPr="00616282" w:rsidRDefault="00A74BD5" w:rsidP="00616282">
      <w:pPr>
        <w:rPr>
          <w:rFonts w:ascii="Calibri" w:hAnsi="Calibri" w:cs="Calibri"/>
          <w:b/>
          <w:bCs/>
          <w:color w:val="ED7D31" w:themeColor="accent2"/>
          <w:lang w:val="en-GB"/>
        </w:rPr>
      </w:pPr>
    </w:p>
    <w:tbl>
      <w:tblPr>
        <w:tblStyle w:val="TableGrid"/>
        <w:tblW w:w="0" w:type="auto"/>
        <w:tblInd w:w="-5" w:type="dxa"/>
        <w:tblBorders>
          <w:top w:val="single" w:sz="8" w:space="0" w:color="BFBFBF" w:themeColor="background1" w:themeShade="BF"/>
          <w:left w:val="single" w:sz="8" w:space="0" w:color="BFBFBF" w:themeColor="background1" w:themeShade="BF"/>
          <w:bottom w:val="single" w:sz="8" w:space="0" w:color="BFBFBF" w:themeColor="background1" w:themeShade="BF"/>
          <w:right w:val="single" w:sz="8" w:space="0" w:color="BFBFBF" w:themeColor="background1" w:themeShade="BF"/>
          <w:insideH w:val="single" w:sz="8" w:space="0" w:color="BFBFBF" w:themeColor="background1" w:themeShade="BF"/>
          <w:insideV w:val="single" w:sz="8" w:space="0" w:color="BFBFBF" w:themeColor="background1" w:themeShade="BF"/>
        </w:tblBorders>
        <w:tblLayout w:type="fixed"/>
        <w:tblLook w:val="04A0" w:firstRow="1" w:lastRow="0" w:firstColumn="1" w:lastColumn="0" w:noHBand="0" w:noVBand="1"/>
      </w:tblPr>
      <w:tblGrid>
        <w:gridCol w:w="4508"/>
        <w:gridCol w:w="4508"/>
      </w:tblGrid>
      <w:tr w:rsidR="004848B7" w:rsidRPr="004725EE" w14:paraId="63EBBFA8" w14:textId="77777777" w:rsidTr="0090701E">
        <w:tc>
          <w:tcPr>
            <w:tcW w:w="4508" w:type="dxa"/>
            <w:shd w:val="clear" w:color="auto" w:fill="D9D9D9" w:themeFill="background1" w:themeFillShade="D9"/>
          </w:tcPr>
          <w:p w14:paraId="11CEB1DC" w14:textId="03B22818" w:rsidR="00B067F9" w:rsidRPr="00616282" w:rsidRDefault="00B067F9" w:rsidP="005E68DE">
            <w:pPr>
              <w:jc w:val="center"/>
              <w:rPr>
                <w:rFonts w:ascii="Calibri" w:hAnsi="Calibri" w:cs="Calibri"/>
                <w:b/>
                <w:bCs/>
                <w:lang w:val="en-GB"/>
              </w:rPr>
            </w:pPr>
            <w:r w:rsidRPr="00616282">
              <w:rPr>
                <w:rFonts w:ascii="Calibri" w:hAnsi="Calibri" w:cs="Calibri"/>
                <w:b/>
                <w:bCs/>
                <w:color w:val="4472C4" w:themeColor="accent1"/>
                <w:lang w:val="en-GB"/>
              </w:rPr>
              <w:t>Board involvement</w:t>
            </w:r>
          </w:p>
        </w:tc>
        <w:tc>
          <w:tcPr>
            <w:tcW w:w="4508" w:type="dxa"/>
            <w:shd w:val="clear" w:color="auto" w:fill="D9D9D9" w:themeFill="background1" w:themeFillShade="D9"/>
          </w:tcPr>
          <w:p w14:paraId="4189F0E8" w14:textId="30ED7B1D" w:rsidR="00B067F9" w:rsidRPr="00616282" w:rsidRDefault="00B067F9" w:rsidP="005E68DE">
            <w:pPr>
              <w:jc w:val="center"/>
              <w:rPr>
                <w:rFonts w:ascii="Calibri" w:hAnsi="Calibri" w:cs="Calibri"/>
                <w:b/>
                <w:bCs/>
                <w:color w:val="4472C4" w:themeColor="accent1"/>
                <w:lang w:val="en-GB"/>
              </w:rPr>
            </w:pPr>
            <w:r w:rsidRPr="00616282">
              <w:rPr>
                <w:rFonts w:ascii="Calibri" w:hAnsi="Calibri" w:cs="Calibri"/>
                <w:b/>
                <w:bCs/>
                <w:color w:val="4472C4" w:themeColor="accent1"/>
                <w:lang w:val="en-GB"/>
              </w:rPr>
              <w:t>Management involvement</w:t>
            </w:r>
          </w:p>
        </w:tc>
      </w:tr>
      <w:tr w:rsidR="00B067F9" w:rsidRPr="004725EE" w14:paraId="6D021AC2" w14:textId="77777777" w:rsidTr="0090701E">
        <w:tc>
          <w:tcPr>
            <w:tcW w:w="4508" w:type="dxa"/>
          </w:tcPr>
          <w:p w14:paraId="38A186DA" w14:textId="77777777" w:rsidR="00B067F9" w:rsidRPr="00616282" w:rsidRDefault="00B067F9" w:rsidP="00773AE9">
            <w:pPr>
              <w:rPr>
                <w:rFonts w:ascii="Calibri" w:hAnsi="Calibri" w:cs="Calibri"/>
              </w:rPr>
            </w:pPr>
            <w:r w:rsidRPr="00616282">
              <w:rPr>
                <w:rFonts w:ascii="Calibri" w:hAnsi="Calibri" w:cs="Calibri"/>
              </w:rPr>
              <w:t xml:space="preserve">The board sets a climate strategy. This may be part of a wider sustainability or </w:t>
            </w:r>
            <w:bookmarkStart w:id="47" w:name="_Int_qgM8hSOU"/>
            <w:r w:rsidRPr="00616282">
              <w:rPr>
                <w:rFonts w:ascii="Calibri" w:hAnsi="Calibri" w:cs="Calibri"/>
              </w:rPr>
              <w:t>ESG</w:t>
            </w:r>
            <w:bookmarkEnd w:id="47"/>
            <w:r w:rsidRPr="00616282">
              <w:rPr>
                <w:rFonts w:ascii="Calibri" w:hAnsi="Calibri" w:cs="Calibri"/>
              </w:rPr>
              <w:t xml:space="preserve"> </w:t>
            </w:r>
            <w:proofErr w:type="gramStart"/>
            <w:r w:rsidRPr="00616282">
              <w:rPr>
                <w:rFonts w:ascii="Calibri" w:hAnsi="Calibri" w:cs="Calibri"/>
              </w:rPr>
              <w:t>strategy;</w:t>
            </w:r>
            <w:proofErr w:type="gramEnd"/>
            <w:r w:rsidRPr="00616282">
              <w:rPr>
                <w:rFonts w:ascii="Calibri" w:hAnsi="Calibri" w:cs="Calibri"/>
              </w:rPr>
              <w:t xml:space="preserve"> </w:t>
            </w:r>
          </w:p>
          <w:p w14:paraId="27BF350F" w14:textId="77777777" w:rsidR="00B067F9" w:rsidRPr="00616282" w:rsidRDefault="00B067F9" w:rsidP="00773AE9">
            <w:pPr>
              <w:rPr>
                <w:rFonts w:ascii="Calibri" w:hAnsi="Calibri" w:cs="Calibri"/>
              </w:rPr>
            </w:pPr>
          </w:p>
          <w:p w14:paraId="6D634E72" w14:textId="191531B9" w:rsidR="00B067F9" w:rsidRPr="00616282" w:rsidRDefault="00B067F9" w:rsidP="00773AE9">
            <w:pPr>
              <w:rPr>
                <w:rFonts w:ascii="Calibri" w:hAnsi="Calibri" w:cs="Calibri"/>
              </w:rPr>
            </w:pPr>
            <w:r w:rsidRPr="00616282">
              <w:rPr>
                <w:rFonts w:ascii="Calibri" w:hAnsi="Calibri" w:cs="Calibri"/>
              </w:rPr>
              <w:t xml:space="preserve">The board articulates which types of business to pursue and objectives to be </w:t>
            </w:r>
            <w:r w:rsidR="002666C8" w:rsidRPr="00616282">
              <w:rPr>
                <w:rFonts w:ascii="Calibri" w:hAnsi="Calibri" w:cs="Calibri"/>
              </w:rPr>
              <w:t>considered</w:t>
            </w:r>
            <w:r w:rsidRPr="00616282">
              <w:rPr>
                <w:rFonts w:ascii="Calibri" w:hAnsi="Calibri" w:cs="Calibri"/>
              </w:rPr>
              <w:t xml:space="preserve"> qualitatively, and eventually quantitatively, at the company </w:t>
            </w:r>
            <w:proofErr w:type="gramStart"/>
            <w:r w:rsidRPr="00616282">
              <w:rPr>
                <w:rFonts w:ascii="Calibri" w:hAnsi="Calibri" w:cs="Calibri"/>
              </w:rPr>
              <w:t>level;</w:t>
            </w:r>
            <w:proofErr w:type="gramEnd"/>
            <w:r w:rsidRPr="00616282">
              <w:rPr>
                <w:rFonts w:ascii="Calibri" w:hAnsi="Calibri" w:cs="Calibri"/>
              </w:rPr>
              <w:t xml:space="preserve"> </w:t>
            </w:r>
          </w:p>
          <w:p w14:paraId="15C56EFE" w14:textId="77777777" w:rsidR="00B067F9" w:rsidRPr="00616282" w:rsidRDefault="00B067F9" w:rsidP="00773AE9">
            <w:pPr>
              <w:pStyle w:val="ListParagraph"/>
              <w:contextualSpacing w:val="0"/>
              <w:outlineLvl w:val="0"/>
              <w:rPr>
                <w:rFonts w:ascii="Calibri" w:hAnsi="Calibri" w:cs="Calibri"/>
                <w:lang w:val="en-GB"/>
              </w:rPr>
            </w:pPr>
          </w:p>
          <w:p w14:paraId="523FB840" w14:textId="77777777" w:rsidR="00B067F9" w:rsidRPr="00616282" w:rsidRDefault="00B067F9" w:rsidP="00773AE9">
            <w:pPr>
              <w:rPr>
                <w:rFonts w:ascii="Calibri" w:hAnsi="Calibri" w:cs="Calibri"/>
              </w:rPr>
            </w:pPr>
            <w:r w:rsidRPr="00616282">
              <w:rPr>
                <w:rFonts w:ascii="Calibri" w:hAnsi="Calibri" w:cs="Calibri"/>
              </w:rPr>
              <w:t xml:space="preserve">Group-level risk managers provide a breakdown (such as capacities) for certain risk-taking (business) units, wherever quantitative limits are </w:t>
            </w:r>
            <w:proofErr w:type="gramStart"/>
            <w:r w:rsidRPr="00616282">
              <w:rPr>
                <w:rFonts w:ascii="Calibri" w:hAnsi="Calibri" w:cs="Calibri"/>
              </w:rPr>
              <w:t>defined;</w:t>
            </w:r>
            <w:proofErr w:type="gramEnd"/>
          </w:p>
          <w:p w14:paraId="1E904A7E" w14:textId="77777777" w:rsidR="00B067F9" w:rsidRPr="00616282" w:rsidRDefault="00B067F9" w:rsidP="00773AE9">
            <w:pPr>
              <w:pStyle w:val="ListParagraph"/>
              <w:contextualSpacing w:val="0"/>
              <w:outlineLvl w:val="0"/>
              <w:rPr>
                <w:rFonts w:ascii="Calibri" w:hAnsi="Calibri" w:cs="Calibri"/>
                <w:lang w:val="en-GB"/>
              </w:rPr>
            </w:pPr>
          </w:p>
          <w:p w14:paraId="718C4F01" w14:textId="7E44557B" w:rsidR="00B067F9" w:rsidRPr="00616282" w:rsidRDefault="00B067F9" w:rsidP="00773AE9">
            <w:pPr>
              <w:rPr>
                <w:rFonts w:ascii="Calibri" w:hAnsi="Calibri" w:cs="Calibri"/>
              </w:rPr>
            </w:pPr>
            <w:r w:rsidRPr="00616282">
              <w:rPr>
                <w:rFonts w:ascii="Calibri" w:hAnsi="Calibri" w:cs="Calibri"/>
              </w:rPr>
              <w:t xml:space="preserve">Business units consider capacity limits for risk taking, and balance these limits with other objectives for risk taking; and </w:t>
            </w:r>
          </w:p>
          <w:p w14:paraId="2EBFDED0" w14:textId="77777777" w:rsidR="00B067F9" w:rsidRPr="00616282" w:rsidRDefault="00B067F9" w:rsidP="00773AE9">
            <w:pPr>
              <w:rPr>
                <w:rFonts w:ascii="Calibri" w:hAnsi="Calibri" w:cs="Calibri"/>
              </w:rPr>
            </w:pPr>
          </w:p>
          <w:p w14:paraId="5DD50312" w14:textId="239523AD" w:rsidR="00B067F9" w:rsidRPr="00616282" w:rsidRDefault="00B067F9" w:rsidP="00773AE9">
            <w:pPr>
              <w:rPr>
                <w:rFonts w:ascii="Calibri" w:hAnsi="Calibri" w:cs="Calibri"/>
                <w:lang w:val="en-GB"/>
              </w:rPr>
            </w:pPr>
            <w:r w:rsidRPr="00616282">
              <w:rPr>
                <w:rFonts w:ascii="Calibri" w:hAnsi="Calibri" w:cs="Calibri"/>
              </w:rPr>
              <w:t>Risk management, underwriting, and asset management incorporate principles into their governance frameworks to control their limits, monitor adherence to the limits, and describe escalation procedures (as necessary).</w:t>
            </w:r>
            <w:r w:rsidRPr="00616282">
              <w:rPr>
                <w:rStyle w:val="FootnoteReference"/>
                <w:rFonts w:ascii="Calibri" w:hAnsi="Calibri" w:cs="Calibri"/>
                <w:lang w:val="en-GB"/>
              </w:rPr>
              <w:footnoteReference w:id="8"/>
            </w:r>
          </w:p>
        </w:tc>
        <w:tc>
          <w:tcPr>
            <w:tcW w:w="4508" w:type="dxa"/>
            <w:shd w:val="clear" w:color="auto" w:fill="auto"/>
          </w:tcPr>
          <w:p w14:paraId="4E8C958E" w14:textId="77777777" w:rsidR="00C00E12" w:rsidRPr="00616282" w:rsidRDefault="007229E9" w:rsidP="00773AE9">
            <w:pPr>
              <w:rPr>
                <w:rFonts w:ascii="Calibri" w:hAnsi="Calibri" w:cs="Calibri"/>
              </w:rPr>
            </w:pPr>
            <w:r w:rsidRPr="00616282">
              <w:rPr>
                <w:rFonts w:ascii="Calibri" w:hAnsi="Calibri" w:cs="Calibri"/>
              </w:rPr>
              <w:t xml:space="preserve">When assigning senior management responsibility for climate risk, consider where responsibility for other financial risks is managed and align with that responsibility. This will depend on the firm, but examples include the Chief Risk Officer and/or the Chief Financial Officer/ Chief Investment Officer. </w:t>
            </w:r>
          </w:p>
          <w:p w14:paraId="7B7682A1" w14:textId="77777777" w:rsidR="00C00E12" w:rsidRPr="00616282" w:rsidRDefault="00C00E12" w:rsidP="00773AE9">
            <w:pPr>
              <w:rPr>
                <w:rFonts w:ascii="Calibri" w:hAnsi="Calibri" w:cs="Calibri"/>
              </w:rPr>
            </w:pPr>
          </w:p>
          <w:p w14:paraId="3F378660" w14:textId="06E4329E" w:rsidR="007229E9" w:rsidRPr="00616282" w:rsidRDefault="007229E9" w:rsidP="00773AE9">
            <w:pPr>
              <w:rPr>
                <w:rFonts w:ascii="Calibri" w:hAnsi="Calibri" w:cs="Calibri"/>
              </w:rPr>
            </w:pPr>
            <w:r w:rsidRPr="00616282">
              <w:rPr>
                <w:rFonts w:ascii="Calibri" w:hAnsi="Calibri" w:cs="Calibri"/>
              </w:rPr>
              <w:t>Senior Management Function (“SMF”) responsibility for climate risk should be assigned to an existing SMF; and the responsibility should not be shared between ‘too many’ individuals. As a guiding principle, not assigning SMF responsibility to more than 2 people is a good starting point, subject to the firm’s legal and corporate governance structure.</w:t>
            </w:r>
          </w:p>
          <w:p w14:paraId="4AE58087" w14:textId="77777777" w:rsidR="007229E9" w:rsidRPr="00616282" w:rsidRDefault="007229E9" w:rsidP="00773AE9">
            <w:pPr>
              <w:rPr>
                <w:rFonts w:ascii="Calibri" w:hAnsi="Calibri" w:cs="Calibri"/>
              </w:rPr>
            </w:pPr>
          </w:p>
          <w:p w14:paraId="0147F273" w14:textId="77208C05" w:rsidR="007229E9" w:rsidRPr="00616282" w:rsidRDefault="007229E9" w:rsidP="00773AE9">
            <w:pPr>
              <w:rPr>
                <w:rFonts w:ascii="Calibri" w:hAnsi="Calibri" w:cs="Calibri"/>
              </w:rPr>
            </w:pPr>
            <w:r w:rsidRPr="00616282">
              <w:rPr>
                <w:rFonts w:ascii="Calibri" w:hAnsi="Calibri" w:cs="Calibri"/>
              </w:rPr>
              <w:t xml:space="preserve">Ensure the dissemination of responsibility is allocated appropriately and documented. Update the relevant committee terms of reference and set-up a committee or working group, chaired by the SMF holder, with representation from across the three lines of </w:t>
            </w:r>
            <w:proofErr w:type="spellStart"/>
            <w:r w:rsidRPr="00616282">
              <w:rPr>
                <w:rFonts w:ascii="Calibri" w:hAnsi="Calibri" w:cs="Calibri"/>
              </w:rPr>
              <w:t>defence</w:t>
            </w:r>
            <w:proofErr w:type="spellEnd"/>
            <w:r w:rsidRPr="00616282">
              <w:rPr>
                <w:rFonts w:ascii="Calibri" w:hAnsi="Calibri" w:cs="Calibri"/>
              </w:rPr>
              <w:t>, to oversee operational delivery.</w:t>
            </w:r>
          </w:p>
          <w:p w14:paraId="79826B15" w14:textId="77777777" w:rsidR="007229E9" w:rsidRPr="00616282" w:rsidRDefault="007229E9" w:rsidP="00773AE9">
            <w:pPr>
              <w:rPr>
                <w:rFonts w:ascii="Calibri" w:hAnsi="Calibri" w:cs="Calibri"/>
              </w:rPr>
            </w:pPr>
          </w:p>
          <w:p w14:paraId="2064E43B" w14:textId="77777777" w:rsidR="00B067F9" w:rsidRPr="00616282" w:rsidRDefault="007229E9" w:rsidP="00773AE9">
            <w:pPr>
              <w:rPr>
                <w:rFonts w:ascii="Calibri" w:hAnsi="Calibri" w:cs="Calibri"/>
              </w:rPr>
            </w:pPr>
            <w:r w:rsidRPr="00616282">
              <w:rPr>
                <w:rFonts w:ascii="Calibri" w:hAnsi="Calibri" w:cs="Calibri"/>
              </w:rPr>
              <w:t xml:space="preserve">Senior management responsibility for climate risk management, alone, does not allocate responsibility across the firm. It’s important to clarify roles and responsibilities across all three lines of </w:t>
            </w:r>
            <w:proofErr w:type="spellStart"/>
            <w:r w:rsidRPr="00616282">
              <w:rPr>
                <w:rFonts w:ascii="Calibri" w:hAnsi="Calibri" w:cs="Calibri"/>
              </w:rPr>
              <w:t>defence</w:t>
            </w:r>
            <w:proofErr w:type="spellEnd"/>
            <w:r w:rsidRPr="00616282">
              <w:rPr>
                <w:rFonts w:ascii="Calibri" w:hAnsi="Calibri" w:cs="Calibri"/>
              </w:rPr>
              <w:t>, so that the ownership and accountability are clear and coordinated.</w:t>
            </w:r>
          </w:p>
          <w:p w14:paraId="4FE3B0CA" w14:textId="065FA534" w:rsidR="006025CF" w:rsidRPr="00616282" w:rsidRDefault="006025CF" w:rsidP="00773AE9">
            <w:pPr>
              <w:pStyle w:val="ListParagraph"/>
              <w:ind w:left="0"/>
              <w:contextualSpacing w:val="0"/>
              <w:outlineLvl w:val="0"/>
              <w:rPr>
                <w:rFonts w:ascii="Calibri" w:hAnsi="Calibri" w:cs="Calibri"/>
                <w:lang w:val="en-GB"/>
              </w:rPr>
            </w:pPr>
          </w:p>
        </w:tc>
      </w:tr>
    </w:tbl>
    <w:p w14:paraId="611576BB" w14:textId="77777777" w:rsidR="00BA2B00" w:rsidRPr="00616282" w:rsidRDefault="00BA2B00" w:rsidP="00D758C4">
      <w:pPr>
        <w:jc w:val="both"/>
        <w:rPr>
          <w:rFonts w:ascii="Calibri" w:hAnsi="Calibri" w:cs="Calibri"/>
          <w:lang w:val="en-GB"/>
        </w:rPr>
      </w:pPr>
    </w:p>
    <w:p w14:paraId="4DF5451D" w14:textId="43F9235F" w:rsidR="00976224" w:rsidRPr="00616282" w:rsidRDefault="00FA4613" w:rsidP="0046333A">
      <w:pPr>
        <w:pStyle w:val="FootnoteText"/>
        <w:jc w:val="both"/>
        <w:rPr>
          <w:rFonts w:ascii="Calibri" w:hAnsi="Calibri" w:cs="Calibri"/>
          <w:sz w:val="24"/>
          <w:szCs w:val="24"/>
          <w:lang w:val="en-GB"/>
        </w:rPr>
      </w:pPr>
      <w:r w:rsidRPr="00616282">
        <w:rPr>
          <w:rFonts w:ascii="Calibri" w:hAnsi="Calibri" w:cs="Calibri"/>
          <w:sz w:val="24"/>
          <w:szCs w:val="24"/>
          <w:lang w:val="en-GB"/>
        </w:rPr>
        <w:t xml:space="preserve">CBK provides ample flexibility for banks to demonstrate </w:t>
      </w:r>
      <w:r w:rsidR="00FD78A6" w:rsidRPr="00616282">
        <w:rPr>
          <w:rFonts w:ascii="Calibri" w:hAnsi="Calibri" w:cs="Calibri"/>
          <w:sz w:val="24"/>
          <w:szCs w:val="24"/>
          <w:lang w:val="en-GB"/>
        </w:rPr>
        <w:t>and evidence governance of climate</w:t>
      </w:r>
      <w:r w:rsidR="00773AE9">
        <w:rPr>
          <w:rFonts w:ascii="Calibri" w:hAnsi="Calibri" w:cs="Calibri"/>
          <w:sz w:val="24"/>
          <w:szCs w:val="24"/>
          <w:lang w:val="en-GB"/>
        </w:rPr>
        <w:t>-</w:t>
      </w:r>
      <w:r w:rsidR="00FD78A6" w:rsidRPr="00616282">
        <w:rPr>
          <w:rFonts w:ascii="Calibri" w:hAnsi="Calibri" w:cs="Calibri"/>
          <w:sz w:val="24"/>
          <w:szCs w:val="24"/>
          <w:lang w:val="en-GB"/>
        </w:rPr>
        <w:t>related issues primarily in a qualitative questionnaire format</w:t>
      </w:r>
      <w:r w:rsidR="00773AE9">
        <w:rPr>
          <w:rFonts w:ascii="Calibri" w:hAnsi="Calibri" w:cs="Calibri"/>
          <w:sz w:val="24"/>
          <w:szCs w:val="24"/>
          <w:lang w:val="en-GB"/>
        </w:rPr>
        <w:t>,</w:t>
      </w:r>
      <w:r w:rsidR="000C1D95" w:rsidRPr="00616282">
        <w:rPr>
          <w:rFonts w:ascii="Calibri" w:hAnsi="Calibri" w:cs="Calibri"/>
          <w:sz w:val="24"/>
          <w:szCs w:val="24"/>
          <w:lang w:val="en-GB"/>
        </w:rPr>
        <w:t xml:space="preserve"> as shown below.</w:t>
      </w:r>
    </w:p>
    <w:p w14:paraId="200DC603" w14:textId="77777777" w:rsidR="000C1D95" w:rsidRPr="00616282" w:rsidRDefault="000C1D95" w:rsidP="0046333A">
      <w:pPr>
        <w:pStyle w:val="FootnoteText"/>
        <w:jc w:val="both"/>
        <w:rPr>
          <w:rFonts w:ascii="Calibri" w:hAnsi="Calibri" w:cs="Calibri"/>
          <w:sz w:val="24"/>
          <w:szCs w:val="24"/>
          <w:lang w:val="en-GB"/>
        </w:rPr>
      </w:pPr>
    </w:p>
    <w:p w14:paraId="46503683" w14:textId="77777777" w:rsidR="00157082" w:rsidRDefault="00157082">
      <w:pPr>
        <w:rPr>
          <w:rFonts w:ascii="Calibri" w:hAnsi="Calibri" w:cs="Calibri"/>
          <w:b/>
          <w:bCs/>
          <w:color w:val="ED7D31" w:themeColor="accent2"/>
          <w:lang w:val="en-GB"/>
        </w:rPr>
      </w:pPr>
      <w:bookmarkStart w:id="48" w:name="_Toc171908203"/>
      <w:r>
        <w:rPr>
          <w:rFonts w:ascii="Calibri" w:hAnsi="Calibri" w:cs="Calibri"/>
          <w:b/>
          <w:bCs/>
          <w:color w:val="ED7D31" w:themeColor="accent2"/>
          <w:lang w:val="en-GB"/>
        </w:rPr>
        <w:br w:type="page"/>
      </w:r>
    </w:p>
    <w:p w14:paraId="066117FD" w14:textId="6DE539DD" w:rsidR="000C1D95" w:rsidRPr="00616282" w:rsidRDefault="000C1D95" w:rsidP="00616282">
      <w:pPr>
        <w:rPr>
          <w:rFonts w:ascii="Calibri" w:hAnsi="Calibri" w:cs="Calibri"/>
          <w:b/>
          <w:bCs/>
          <w:color w:val="ED7D31" w:themeColor="accent2"/>
          <w:lang w:val="en-GB"/>
        </w:rPr>
      </w:pPr>
      <w:r w:rsidRPr="00616282">
        <w:rPr>
          <w:rFonts w:ascii="Calibri" w:hAnsi="Calibri" w:cs="Calibri"/>
          <w:b/>
          <w:bCs/>
          <w:color w:val="ED7D31" w:themeColor="accent2"/>
          <w:lang w:val="en-GB"/>
        </w:rPr>
        <w:lastRenderedPageBreak/>
        <w:t xml:space="preserve">Table </w:t>
      </w:r>
      <w:r w:rsidRPr="00616282">
        <w:rPr>
          <w:rFonts w:ascii="Calibri" w:hAnsi="Calibri" w:cs="Calibri"/>
          <w:b/>
          <w:bCs/>
          <w:color w:val="ED7D31" w:themeColor="accent2"/>
          <w:lang w:val="en-GB"/>
        </w:rPr>
        <w:fldChar w:fldCharType="begin"/>
      </w:r>
      <w:r w:rsidRPr="00616282">
        <w:rPr>
          <w:rFonts w:ascii="Calibri" w:hAnsi="Calibri" w:cs="Calibri"/>
          <w:b/>
          <w:bCs/>
          <w:color w:val="ED7D31" w:themeColor="accent2"/>
          <w:lang w:val="en-GB"/>
        </w:rPr>
        <w:instrText xml:space="preserve"> SEQ Table \* ARABIC </w:instrText>
      </w:r>
      <w:r w:rsidRPr="00616282">
        <w:rPr>
          <w:rFonts w:ascii="Calibri" w:hAnsi="Calibri" w:cs="Calibri"/>
          <w:b/>
          <w:bCs/>
          <w:color w:val="ED7D31" w:themeColor="accent2"/>
          <w:lang w:val="en-GB"/>
        </w:rPr>
        <w:fldChar w:fldCharType="separate"/>
      </w:r>
      <w:r w:rsidR="0096670A">
        <w:rPr>
          <w:rFonts w:ascii="Calibri" w:hAnsi="Calibri" w:cs="Calibri"/>
          <w:b/>
          <w:bCs/>
          <w:noProof/>
          <w:color w:val="ED7D31" w:themeColor="accent2"/>
          <w:lang w:val="en-GB"/>
        </w:rPr>
        <w:t>9</w:t>
      </w:r>
      <w:r w:rsidRPr="00616282">
        <w:rPr>
          <w:rFonts w:ascii="Calibri" w:hAnsi="Calibri" w:cs="Calibri"/>
          <w:b/>
          <w:bCs/>
          <w:color w:val="ED7D31" w:themeColor="accent2"/>
          <w:lang w:val="en-GB"/>
        </w:rPr>
        <w:fldChar w:fldCharType="end"/>
      </w:r>
      <w:r w:rsidRPr="00616282">
        <w:rPr>
          <w:rFonts w:ascii="Calibri" w:hAnsi="Calibri" w:cs="Calibri"/>
          <w:b/>
          <w:bCs/>
          <w:color w:val="ED7D31" w:themeColor="accent2"/>
          <w:lang w:val="en-GB"/>
        </w:rPr>
        <w:t xml:space="preserve">. Questionnaires </w:t>
      </w:r>
      <w:r w:rsidR="00C81C0E" w:rsidRPr="00616282">
        <w:rPr>
          <w:rFonts w:ascii="Calibri" w:hAnsi="Calibri" w:cs="Calibri"/>
          <w:b/>
          <w:bCs/>
          <w:color w:val="ED7D31" w:themeColor="accent2"/>
          <w:lang w:val="en-GB"/>
        </w:rPr>
        <w:t xml:space="preserve">and Tables </w:t>
      </w:r>
      <w:r w:rsidRPr="00616282">
        <w:rPr>
          <w:rFonts w:ascii="Calibri" w:hAnsi="Calibri" w:cs="Calibri"/>
          <w:b/>
          <w:bCs/>
          <w:color w:val="ED7D31" w:themeColor="accent2"/>
          <w:lang w:val="en-GB"/>
        </w:rPr>
        <w:t>on Governance</w:t>
      </w:r>
      <w:bookmarkEnd w:id="48"/>
    </w:p>
    <w:p w14:paraId="73BF6282" w14:textId="77777777" w:rsidR="000C1D95" w:rsidRPr="00616282" w:rsidRDefault="000C1D95" w:rsidP="0046333A">
      <w:pPr>
        <w:pStyle w:val="FootnoteText"/>
        <w:jc w:val="both"/>
        <w:rPr>
          <w:rFonts w:ascii="Calibri" w:hAnsi="Calibri" w:cs="Calibri"/>
          <w:sz w:val="24"/>
          <w:szCs w:val="24"/>
          <w:lang w:val="en-GB"/>
        </w:rPr>
      </w:pPr>
    </w:p>
    <w:p w14:paraId="11063DAB" w14:textId="7AE45FD8" w:rsidR="00FD78A6" w:rsidRPr="00616282" w:rsidRDefault="00FA5425" w:rsidP="0046333A">
      <w:pPr>
        <w:pStyle w:val="FootnoteText"/>
        <w:jc w:val="both"/>
        <w:rPr>
          <w:rFonts w:ascii="Calibri" w:hAnsi="Calibri" w:cs="Calibri"/>
          <w:sz w:val="24"/>
          <w:szCs w:val="24"/>
          <w:lang w:val="en-GB"/>
        </w:rPr>
      </w:pPr>
      <w:r w:rsidRPr="00616282">
        <w:rPr>
          <w:rFonts w:ascii="Calibri" w:hAnsi="Calibri" w:cs="Calibri"/>
          <w:noProof/>
          <w14:ligatures w14:val="standardContextual"/>
        </w:rPr>
        <w:t xml:space="preserve"> </w:t>
      </w:r>
      <w:r w:rsidRPr="00616282">
        <w:rPr>
          <w:rFonts w:ascii="Calibri" w:hAnsi="Calibri" w:cs="Calibri"/>
          <w:noProof/>
          <w:sz w:val="24"/>
          <w:szCs w:val="24"/>
          <w:lang w:val="en-GB"/>
        </w:rPr>
        <w:drawing>
          <wp:inline distT="0" distB="0" distL="0" distR="0" wp14:anchorId="042758BD" wp14:editId="23C99043">
            <wp:extent cx="5731510" cy="828040"/>
            <wp:effectExtent l="0" t="0" r="0" b="0"/>
            <wp:docPr id="151661167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6611674" name=""/>
                    <pic:cNvPicPr/>
                  </pic:nvPicPr>
                  <pic:blipFill>
                    <a:blip r:embed="rId21"/>
                    <a:stretch>
                      <a:fillRect/>
                    </a:stretch>
                  </pic:blipFill>
                  <pic:spPr>
                    <a:xfrm>
                      <a:off x="0" y="0"/>
                      <a:ext cx="5731510" cy="828040"/>
                    </a:xfrm>
                    <a:prstGeom prst="rect">
                      <a:avLst/>
                    </a:prstGeom>
                  </pic:spPr>
                </pic:pic>
              </a:graphicData>
            </a:graphic>
          </wp:inline>
        </w:drawing>
      </w:r>
    </w:p>
    <w:p w14:paraId="25480022" w14:textId="77777777" w:rsidR="00FD78A6" w:rsidRPr="00616282" w:rsidRDefault="00FD78A6" w:rsidP="0046333A">
      <w:pPr>
        <w:pStyle w:val="FootnoteText"/>
        <w:jc w:val="both"/>
        <w:rPr>
          <w:rFonts w:ascii="Calibri" w:hAnsi="Calibri" w:cs="Calibri"/>
          <w:sz w:val="24"/>
          <w:szCs w:val="24"/>
          <w:lang w:val="en-GB"/>
        </w:rPr>
      </w:pPr>
    </w:p>
    <w:p w14:paraId="7F1949F0" w14:textId="27979F60" w:rsidR="00FD78A6" w:rsidRPr="00616282" w:rsidRDefault="00FA5425" w:rsidP="0046333A">
      <w:pPr>
        <w:pStyle w:val="FootnoteText"/>
        <w:jc w:val="both"/>
        <w:rPr>
          <w:rFonts w:ascii="Calibri" w:hAnsi="Calibri" w:cs="Calibri"/>
          <w:noProof/>
          <w14:ligatures w14:val="standardContextual"/>
        </w:rPr>
      </w:pPr>
      <w:r w:rsidRPr="00616282">
        <w:rPr>
          <w:rFonts w:ascii="Calibri" w:hAnsi="Calibri" w:cs="Calibri"/>
          <w:noProof/>
          <w:sz w:val="24"/>
          <w:szCs w:val="24"/>
          <w:lang w:val="en-GB"/>
        </w:rPr>
        <w:drawing>
          <wp:inline distT="0" distB="0" distL="0" distR="0" wp14:anchorId="3D029EE9" wp14:editId="735AFE1A">
            <wp:extent cx="5731510" cy="1252855"/>
            <wp:effectExtent l="0" t="0" r="0" b="4445"/>
            <wp:docPr id="66239953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2399532" name=""/>
                    <pic:cNvPicPr/>
                  </pic:nvPicPr>
                  <pic:blipFill>
                    <a:blip r:embed="rId22"/>
                    <a:stretch>
                      <a:fillRect/>
                    </a:stretch>
                  </pic:blipFill>
                  <pic:spPr>
                    <a:xfrm>
                      <a:off x="0" y="0"/>
                      <a:ext cx="5731510" cy="1252855"/>
                    </a:xfrm>
                    <a:prstGeom prst="rect">
                      <a:avLst/>
                    </a:prstGeom>
                  </pic:spPr>
                </pic:pic>
              </a:graphicData>
            </a:graphic>
          </wp:inline>
        </w:drawing>
      </w:r>
    </w:p>
    <w:p w14:paraId="5E71E40D" w14:textId="63BA0697" w:rsidR="00A74BD5" w:rsidRPr="00616282" w:rsidRDefault="00A74BD5" w:rsidP="00A74BD5">
      <w:pPr>
        <w:jc w:val="both"/>
        <w:rPr>
          <w:rFonts w:ascii="Calibri" w:hAnsi="Calibri" w:cs="Calibri"/>
          <w:sz w:val="20"/>
          <w:szCs w:val="20"/>
          <w:lang w:val="en-GB"/>
        </w:rPr>
      </w:pPr>
      <w:r w:rsidRPr="00616282">
        <w:rPr>
          <w:rFonts w:ascii="Calibri" w:hAnsi="Calibri" w:cs="Calibri"/>
          <w:b/>
          <w:bCs/>
          <w:sz w:val="20"/>
          <w:szCs w:val="20"/>
          <w:lang w:val="en-GB"/>
        </w:rPr>
        <w:t>Source</w:t>
      </w:r>
      <w:r w:rsidRPr="00616282">
        <w:rPr>
          <w:rFonts w:ascii="Calibri" w:hAnsi="Calibri" w:cs="Calibri"/>
          <w:sz w:val="20"/>
          <w:szCs w:val="20"/>
          <w:lang w:val="en-GB"/>
        </w:rPr>
        <w:t xml:space="preserve">: </w:t>
      </w:r>
      <w:r w:rsidR="00C807D2">
        <w:rPr>
          <w:rFonts w:ascii="Calibri" w:hAnsi="Calibri" w:cs="Calibri"/>
          <w:sz w:val="20"/>
          <w:szCs w:val="20"/>
          <w:lang w:val="en-GB"/>
        </w:rPr>
        <w:t>Adapted from the European Banking Authority. 2022. Final report draft Implementing Technical Standards (ITS) on prudential disclosures on ESG.</w:t>
      </w:r>
      <w:r w:rsidRPr="00616282">
        <w:rPr>
          <w:rFonts w:ascii="Calibri" w:hAnsi="Calibri" w:cs="Calibri"/>
          <w:sz w:val="20"/>
          <w:szCs w:val="20"/>
        </w:rPr>
        <w:t xml:space="preserve"> </w:t>
      </w:r>
    </w:p>
    <w:p w14:paraId="0D0DEE75" w14:textId="77777777" w:rsidR="00D81ACA" w:rsidRPr="00616282" w:rsidRDefault="00D81ACA" w:rsidP="00616282">
      <w:pPr>
        <w:rPr>
          <w:rFonts w:ascii="Calibri" w:hAnsi="Calibri" w:cs="Calibri"/>
          <w:b/>
          <w:bCs/>
          <w:color w:val="ED7D31" w:themeColor="accent2"/>
          <w:lang w:val="en-GB"/>
        </w:rPr>
      </w:pPr>
    </w:p>
    <w:p w14:paraId="07E9FCCF" w14:textId="552F3BD6" w:rsidR="00856169" w:rsidRPr="00616282" w:rsidRDefault="00856169" w:rsidP="0061766C">
      <w:pPr>
        <w:pStyle w:val="Heading1"/>
        <w:pBdr>
          <w:bottom w:val="single" w:sz="8" w:space="1" w:color="2E74B5" w:themeColor="accent5" w:themeShade="BF"/>
        </w:pBdr>
        <w:rPr>
          <w:rFonts w:ascii="Calibri" w:hAnsi="Calibri" w:cs="Calibri"/>
        </w:rPr>
      </w:pPr>
      <w:bookmarkStart w:id="49" w:name="_Toc167079295"/>
      <w:bookmarkStart w:id="50" w:name="_Toc167079485"/>
      <w:bookmarkStart w:id="51" w:name="_Toc171908185"/>
      <w:r w:rsidRPr="00616282">
        <w:rPr>
          <w:rFonts w:ascii="Calibri" w:hAnsi="Calibri" w:cs="Calibri"/>
        </w:rPr>
        <w:t>Strategy for managing climate-related risks and opportunities</w:t>
      </w:r>
      <w:bookmarkEnd w:id="49"/>
      <w:bookmarkEnd w:id="50"/>
      <w:bookmarkEnd w:id="51"/>
    </w:p>
    <w:p w14:paraId="6FD01AFB" w14:textId="77777777" w:rsidR="001015AB" w:rsidRPr="00616282" w:rsidRDefault="001015AB" w:rsidP="00FB0DA0">
      <w:pPr>
        <w:outlineLvl w:val="0"/>
        <w:rPr>
          <w:rFonts w:ascii="Calibri" w:hAnsi="Calibri" w:cs="Calibri"/>
          <w:lang w:val="en-GB"/>
        </w:rPr>
      </w:pPr>
    </w:p>
    <w:p w14:paraId="651CC728" w14:textId="729BB5E1" w:rsidR="00BE6B3E" w:rsidRPr="00616282" w:rsidRDefault="0036307F" w:rsidP="002D5BA0">
      <w:pPr>
        <w:jc w:val="both"/>
        <w:rPr>
          <w:rFonts w:ascii="Calibri" w:hAnsi="Calibri" w:cs="Calibri"/>
          <w:lang w:val="en-GB"/>
        </w:rPr>
      </w:pPr>
      <w:r w:rsidRPr="00616282">
        <w:rPr>
          <w:rFonts w:ascii="Calibri" w:hAnsi="Calibri" w:cs="Calibri"/>
          <w:lang w:val="en-GB"/>
        </w:rPr>
        <w:t>The C</w:t>
      </w:r>
      <w:r w:rsidR="00C950D3" w:rsidRPr="00616282">
        <w:rPr>
          <w:rFonts w:ascii="Calibri" w:hAnsi="Calibri" w:cs="Calibri"/>
          <w:lang w:val="en-GB"/>
        </w:rPr>
        <w:t>entral Bank of Kenya</w:t>
      </w:r>
      <w:r w:rsidR="00C00E12" w:rsidRPr="00616282">
        <w:rPr>
          <w:rFonts w:ascii="Calibri" w:hAnsi="Calibri" w:cs="Calibri"/>
          <w:lang w:val="en-GB"/>
        </w:rPr>
        <w:t>’s</w:t>
      </w:r>
      <w:r w:rsidR="00C950D3" w:rsidRPr="00616282">
        <w:rPr>
          <w:rFonts w:ascii="Calibri" w:hAnsi="Calibri" w:cs="Calibri"/>
          <w:lang w:val="en-GB"/>
        </w:rPr>
        <w:t xml:space="preserve"> expectation on climate risk management</w:t>
      </w:r>
      <w:r w:rsidRPr="00616282">
        <w:rPr>
          <w:rFonts w:ascii="Calibri" w:hAnsi="Calibri" w:cs="Calibri"/>
          <w:lang w:val="en-GB"/>
        </w:rPr>
        <w:t xml:space="preserve"> considers that i</w:t>
      </w:r>
      <w:r w:rsidR="00C950D3" w:rsidRPr="00616282">
        <w:rPr>
          <w:rFonts w:ascii="Calibri" w:hAnsi="Calibri" w:cs="Calibri"/>
          <w:lang w:val="en-GB"/>
        </w:rPr>
        <w:t xml:space="preserve">n formulating their business strategies, institutions are expected to understand the impact of climate-related risks on the business environment in which they operate, in the short, </w:t>
      </w:r>
      <w:r w:rsidR="00DD4F7B" w:rsidRPr="00616282">
        <w:rPr>
          <w:rFonts w:ascii="Calibri" w:hAnsi="Calibri" w:cs="Calibri"/>
          <w:lang w:val="en-GB"/>
        </w:rPr>
        <w:t>medium,</w:t>
      </w:r>
      <w:r w:rsidR="00C950D3" w:rsidRPr="00616282">
        <w:rPr>
          <w:rFonts w:ascii="Calibri" w:hAnsi="Calibri" w:cs="Calibri"/>
          <w:lang w:val="en-GB"/>
        </w:rPr>
        <w:t xml:space="preserve"> and long term, to facilitate informed strategic and business decisions. </w:t>
      </w:r>
      <w:r w:rsidR="00C53FD0" w:rsidRPr="00616282">
        <w:rPr>
          <w:rFonts w:ascii="Calibri" w:hAnsi="Calibri" w:cs="Calibri"/>
          <w:lang w:val="en-GB"/>
        </w:rPr>
        <w:t>(Section 3.3</w:t>
      </w:r>
      <w:r w:rsidR="00ED1268" w:rsidRPr="00616282">
        <w:rPr>
          <w:rFonts w:ascii="Calibri" w:hAnsi="Calibri" w:cs="Calibri"/>
          <w:lang w:val="en-GB"/>
        </w:rPr>
        <w:t xml:space="preserve"> </w:t>
      </w:r>
      <w:r w:rsidR="00C53FD0" w:rsidRPr="00616282">
        <w:rPr>
          <w:rFonts w:ascii="Calibri" w:hAnsi="Calibri" w:cs="Calibri"/>
          <w:lang w:val="en-GB"/>
        </w:rPr>
        <w:t>of the CBK Guidance on Climate-related Risk Management. 2021).</w:t>
      </w:r>
    </w:p>
    <w:p w14:paraId="58810571" w14:textId="77777777" w:rsidR="00BE6B3E" w:rsidRPr="00616282" w:rsidRDefault="00BE6B3E" w:rsidP="00BE6B3E">
      <w:pPr>
        <w:pStyle w:val="ListParagraph"/>
        <w:rPr>
          <w:rFonts w:ascii="Calibri" w:hAnsi="Calibri" w:cs="Calibri"/>
          <w:lang w:val="en-GB"/>
        </w:rPr>
      </w:pPr>
    </w:p>
    <w:p w14:paraId="5F6D7753" w14:textId="14CC8A5A" w:rsidR="00F43E47" w:rsidRPr="00616282" w:rsidRDefault="00F43E47" w:rsidP="002D5BA0">
      <w:pPr>
        <w:jc w:val="both"/>
        <w:rPr>
          <w:rFonts w:ascii="Calibri" w:hAnsi="Calibri" w:cs="Calibri"/>
          <w:lang w:val="en-GB"/>
        </w:rPr>
      </w:pPr>
      <w:r w:rsidRPr="00616282">
        <w:rPr>
          <w:rFonts w:ascii="Calibri" w:hAnsi="Calibri" w:cs="Calibri"/>
          <w:lang w:val="en-GB"/>
        </w:rPr>
        <w:t>The aim of climate-related financial disclosures concerning strategy is to provide a comprehensive understanding of how an entity manages climate-related risks and opportunities. This involves disclosing information on: (a) the climate-related risks and opportunities expected to impact the entity's prospects, (b) the present and future effects of these climate-related factors on the entity's business model and value chain, (c) how these factors influence the entity's strategy and decision-making, including details on its climate-related transition plan, (d) the impacts of these factors on the entity's financial position, performance, and cash flows for the reporting period, as well as their expected effects over the short, medium, and long term, considering their incorporation into financial planning, and (e) the resilience of the entity's strategy and business model to climate-related changes and uncertainties, based on identified risks and opportunities.</w:t>
      </w:r>
    </w:p>
    <w:p w14:paraId="5DDA71ED" w14:textId="77777777" w:rsidR="000275C4" w:rsidRPr="00616282" w:rsidRDefault="000275C4" w:rsidP="00FB0DA0">
      <w:pPr>
        <w:pStyle w:val="ListParagraph"/>
        <w:contextualSpacing w:val="0"/>
        <w:outlineLvl w:val="0"/>
        <w:rPr>
          <w:rFonts w:ascii="Calibri" w:hAnsi="Calibri" w:cs="Calibri"/>
          <w:b/>
          <w:bCs/>
          <w:color w:val="ED7D31" w:themeColor="accent2"/>
          <w:lang w:val="en-GB"/>
        </w:rPr>
      </w:pPr>
    </w:p>
    <w:p w14:paraId="45F680AF" w14:textId="77777777" w:rsidR="00157082" w:rsidRDefault="00157082">
      <w:pPr>
        <w:rPr>
          <w:rFonts w:ascii="Calibri" w:hAnsi="Calibri" w:cs="Calibri"/>
          <w:b/>
          <w:bCs/>
          <w:color w:val="ED7D31" w:themeColor="accent2"/>
          <w:lang w:val="en-GB"/>
        </w:rPr>
      </w:pPr>
      <w:bookmarkStart w:id="52" w:name="_Toc171908204"/>
      <w:r>
        <w:rPr>
          <w:rFonts w:ascii="Calibri" w:hAnsi="Calibri" w:cs="Calibri"/>
          <w:b/>
          <w:bCs/>
          <w:color w:val="ED7D31" w:themeColor="accent2"/>
          <w:lang w:val="en-GB"/>
        </w:rPr>
        <w:br w:type="page"/>
      </w:r>
    </w:p>
    <w:p w14:paraId="0E6AC2B0" w14:textId="60DA92C4" w:rsidR="00B2753A" w:rsidRPr="00616282" w:rsidRDefault="00BE6B3E" w:rsidP="00616282">
      <w:pPr>
        <w:rPr>
          <w:rFonts w:ascii="Calibri" w:hAnsi="Calibri" w:cs="Calibri"/>
          <w:b/>
          <w:bCs/>
          <w:color w:val="ED7D31" w:themeColor="accent2"/>
          <w:lang w:val="en-GB"/>
        </w:rPr>
      </w:pPr>
      <w:r w:rsidRPr="00616282">
        <w:rPr>
          <w:rFonts w:ascii="Calibri" w:hAnsi="Calibri" w:cs="Calibri"/>
          <w:b/>
          <w:bCs/>
          <w:color w:val="ED7D31" w:themeColor="accent2"/>
          <w:lang w:val="en-GB"/>
        </w:rPr>
        <w:lastRenderedPageBreak/>
        <w:t xml:space="preserve">Table </w:t>
      </w:r>
      <w:r w:rsidRPr="00616282">
        <w:rPr>
          <w:rFonts w:ascii="Calibri" w:hAnsi="Calibri" w:cs="Calibri"/>
          <w:b/>
          <w:bCs/>
          <w:color w:val="ED7D31" w:themeColor="accent2"/>
          <w:lang w:val="en-GB"/>
        </w:rPr>
        <w:fldChar w:fldCharType="begin"/>
      </w:r>
      <w:r w:rsidRPr="00616282">
        <w:rPr>
          <w:rFonts w:ascii="Calibri" w:hAnsi="Calibri" w:cs="Calibri"/>
          <w:b/>
          <w:bCs/>
          <w:color w:val="ED7D31" w:themeColor="accent2"/>
          <w:lang w:val="en-GB"/>
        </w:rPr>
        <w:instrText xml:space="preserve"> SEQ Table \* ARABIC </w:instrText>
      </w:r>
      <w:r w:rsidRPr="00616282">
        <w:rPr>
          <w:rFonts w:ascii="Calibri" w:hAnsi="Calibri" w:cs="Calibri"/>
          <w:b/>
          <w:bCs/>
          <w:color w:val="ED7D31" w:themeColor="accent2"/>
          <w:lang w:val="en-GB"/>
        </w:rPr>
        <w:fldChar w:fldCharType="separate"/>
      </w:r>
      <w:r w:rsidR="0096670A">
        <w:rPr>
          <w:rFonts w:ascii="Calibri" w:hAnsi="Calibri" w:cs="Calibri"/>
          <w:b/>
          <w:bCs/>
          <w:noProof/>
          <w:color w:val="ED7D31" w:themeColor="accent2"/>
          <w:lang w:val="en-GB"/>
        </w:rPr>
        <w:t>10</w:t>
      </w:r>
      <w:r w:rsidRPr="00616282">
        <w:rPr>
          <w:rFonts w:ascii="Calibri" w:hAnsi="Calibri" w:cs="Calibri"/>
          <w:b/>
          <w:bCs/>
          <w:color w:val="ED7D31" w:themeColor="accent2"/>
          <w:lang w:val="en-GB"/>
        </w:rPr>
        <w:fldChar w:fldCharType="end"/>
      </w:r>
      <w:r w:rsidRPr="00616282">
        <w:rPr>
          <w:rFonts w:ascii="Calibri" w:hAnsi="Calibri" w:cs="Calibri"/>
          <w:b/>
          <w:bCs/>
          <w:color w:val="ED7D31" w:themeColor="accent2"/>
          <w:lang w:val="en-GB"/>
        </w:rPr>
        <w:t xml:space="preserve">. </w:t>
      </w:r>
      <w:r w:rsidR="000275C4" w:rsidRPr="00616282">
        <w:rPr>
          <w:rFonts w:ascii="Calibri" w:hAnsi="Calibri" w:cs="Calibri"/>
          <w:b/>
          <w:bCs/>
          <w:color w:val="ED7D31" w:themeColor="accent2"/>
          <w:lang w:val="en-GB"/>
        </w:rPr>
        <w:t>Linking CBK, IFRS and BCBS expectations</w:t>
      </w:r>
      <w:r w:rsidRPr="00616282">
        <w:rPr>
          <w:rFonts w:ascii="Calibri" w:hAnsi="Calibri" w:cs="Calibri"/>
          <w:b/>
          <w:bCs/>
          <w:color w:val="ED7D31" w:themeColor="accent2"/>
          <w:lang w:val="en-GB"/>
        </w:rPr>
        <w:t xml:space="preserve"> on business strategy</w:t>
      </w:r>
      <w:bookmarkEnd w:id="52"/>
    </w:p>
    <w:p w14:paraId="16142229" w14:textId="77777777" w:rsidR="00E150F0" w:rsidRPr="00616282" w:rsidRDefault="00E150F0" w:rsidP="00E150F0">
      <w:pPr>
        <w:rPr>
          <w:rFonts w:ascii="Calibri" w:hAnsi="Calibri" w:cs="Calibri"/>
          <w:lang w:val="en-GB"/>
        </w:rPr>
      </w:pPr>
    </w:p>
    <w:tbl>
      <w:tblPr>
        <w:tblStyle w:val="TableGrid"/>
        <w:tblW w:w="0" w:type="auto"/>
        <w:tblBorders>
          <w:top w:val="single" w:sz="8" w:space="0" w:color="BFBFBF" w:themeColor="background1" w:themeShade="BF"/>
          <w:left w:val="single" w:sz="8" w:space="0" w:color="BFBFBF" w:themeColor="background1" w:themeShade="BF"/>
          <w:bottom w:val="single" w:sz="8" w:space="0" w:color="BFBFBF" w:themeColor="background1" w:themeShade="BF"/>
          <w:right w:val="single" w:sz="8" w:space="0" w:color="BFBFBF" w:themeColor="background1" w:themeShade="BF"/>
          <w:insideH w:val="single" w:sz="8" w:space="0" w:color="BFBFBF" w:themeColor="background1" w:themeShade="BF"/>
          <w:insideV w:val="single" w:sz="8" w:space="0" w:color="BFBFBF" w:themeColor="background1" w:themeShade="BF"/>
        </w:tblBorders>
        <w:tblLayout w:type="fixed"/>
        <w:tblLook w:val="04A0" w:firstRow="1" w:lastRow="0" w:firstColumn="1" w:lastColumn="0" w:noHBand="0" w:noVBand="1"/>
      </w:tblPr>
      <w:tblGrid>
        <w:gridCol w:w="2065"/>
        <w:gridCol w:w="1611"/>
        <w:gridCol w:w="2799"/>
        <w:gridCol w:w="2541"/>
      </w:tblGrid>
      <w:tr w:rsidR="00FA69E0" w:rsidRPr="004725EE" w14:paraId="34DBC9FE" w14:textId="77777777" w:rsidTr="00CB4FD6">
        <w:trPr>
          <w:tblHeader/>
        </w:trPr>
        <w:tc>
          <w:tcPr>
            <w:tcW w:w="2065" w:type="dxa"/>
            <w:shd w:val="clear" w:color="auto" w:fill="FBE4D5" w:themeFill="accent2" w:themeFillTint="33"/>
          </w:tcPr>
          <w:p w14:paraId="36390C1D" w14:textId="05D93A02" w:rsidR="003202DC" w:rsidRPr="00616282" w:rsidRDefault="003202DC" w:rsidP="00FB0DA0">
            <w:pPr>
              <w:jc w:val="center"/>
              <w:rPr>
                <w:rFonts w:ascii="Calibri" w:hAnsi="Calibri" w:cs="Calibri"/>
                <w:b/>
                <w:bCs/>
                <w:color w:val="4472C4" w:themeColor="accent1"/>
                <w:lang w:val="en-GB"/>
              </w:rPr>
            </w:pPr>
            <w:r w:rsidRPr="00616282">
              <w:rPr>
                <w:rFonts w:ascii="Calibri" w:hAnsi="Calibri" w:cs="Calibri"/>
                <w:b/>
                <w:bCs/>
                <w:color w:val="4472C4" w:themeColor="accent1"/>
                <w:lang w:val="en-GB"/>
              </w:rPr>
              <w:t>CBK</w:t>
            </w:r>
          </w:p>
        </w:tc>
        <w:tc>
          <w:tcPr>
            <w:tcW w:w="4410" w:type="dxa"/>
            <w:gridSpan w:val="2"/>
            <w:shd w:val="clear" w:color="auto" w:fill="D9D9D9" w:themeFill="background1" w:themeFillShade="D9"/>
          </w:tcPr>
          <w:p w14:paraId="5BB2BFAD" w14:textId="6B0D985C" w:rsidR="003202DC" w:rsidRPr="00616282" w:rsidRDefault="003202DC" w:rsidP="00FB0DA0">
            <w:pPr>
              <w:jc w:val="center"/>
              <w:rPr>
                <w:rFonts w:ascii="Calibri" w:hAnsi="Calibri" w:cs="Calibri"/>
                <w:b/>
                <w:bCs/>
                <w:color w:val="4472C4" w:themeColor="accent1"/>
                <w:lang w:val="en-GB"/>
              </w:rPr>
            </w:pPr>
            <w:r w:rsidRPr="00616282">
              <w:rPr>
                <w:rFonts w:ascii="Calibri" w:hAnsi="Calibri" w:cs="Calibri"/>
                <w:b/>
                <w:bCs/>
                <w:color w:val="4472C4" w:themeColor="accent1"/>
                <w:lang w:val="en-GB"/>
              </w:rPr>
              <w:t>IFRS S2</w:t>
            </w:r>
          </w:p>
        </w:tc>
        <w:tc>
          <w:tcPr>
            <w:tcW w:w="2541" w:type="dxa"/>
            <w:vMerge w:val="restart"/>
            <w:shd w:val="clear" w:color="auto" w:fill="D9D9D9" w:themeFill="background1" w:themeFillShade="D9"/>
          </w:tcPr>
          <w:p w14:paraId="73704389" w14:textId="337FA2E5" w:rsidR="003202DC" w:rsidRPr="00616282" w:rsidRDefault="003202DC" w:rsidP="00FB0DA0">
            <w:pPr>
              <w:jc w:val="center"/>
              <w:rPr>
                <w:rFonts w:ascii="Calibri" w:hAnsi="Calibri" w:cs="Calibri"/>
                <w:b/>
                <w:color w:val="4472C4" w:themeColor="accent1"/>
                <w:lang w:val="en-GB"/>
              </w:rPr>
            </w:pPr>
            <w:r w:rsidRPr="00616282">
              <w:rPr>
                <w:rFonts w:ascii="Calibri" w:hAnsi="Calibri" w:cs="Calibri"/>
                <w:b/>
                <w:color w:val="4472C4" w:themeColor="accent1"/>
                <w:lang w:val="en-GB"/>
              </w:rPr>
              <w:t>BCBS Principle</w:t>
            </w:r>
            <w:r w:rsidR="0083069C" w:rsidRPr="00616282">
              <w:rPr>
                <w:rFonts w:ascii="Calibri" w:hAnsi="Calibri" w:cs="Calibri"/>
                <w:b/>
                <w:color w:val="4472C4" w:themeColor="accent1"/>
                <w:lang w:val="en-GB"/>
              </w:rPr>
              <w:t>s</w:t>
            </w:r>
          </w:p>
        </w:tc>
      </w:tr>
      <w:tr w:rsidR="004F4843" w:rsidRPr="004725EE" w14:paraId="61ADE717" w14:textId="77777777" w:rsidTr="00F31FB2">
        <w:trPr>
          <w:tblHeader/>
        </w:trPr>
        <w:tc>
          <w:tcPr>
            <w:tcW w:w="2065" w:type="dxa"/>
            <w:shd w:val="clear" w:color="auto" w:fill="FBE4D5" w:themeFill="accent2" w:themeFillTint="33"/>
          </w:tcPr>
          <w:p w14:paraId="6EE0EC6A" w14:textId="79930F5A" w:rsidR="00054B7B" w:rsidRPr="00616282" w:rsidRDefault="003202DC" w:rsidP="00FB0DA0">
            <w:pPr>
              <w:jc w:val="center"/>
              <w:rPr>
                <w:rFonts w:ascii="Calibri" w:hAnsi="Calibri" w:cs="Calibri"/>
                <w:b/>
                <w:bCs/>
                <w:color w:val="4472C4" w:themeColor="accent1"/>
                <w:lang w:val="en-GB"/>
              </w:rPr>
            </w:pPr>
            <w:r w:rsidRPr="00616282">
              <w:rPr>
                <w:rFonts w:ascii="Calibri" w:hAnsi="Calibri" w:cs="Calibri"/>
                <w:b/>
                <w:bCs/>
                <w:color w:val="4472C4" w:themeColor="accent1"/>
                <w:lang w:val="en-GB"/>
              </w:rPr>
              <w:t>Strategy</w:t>
            </w:r>
          </w:p>
        </w:tc>
        <w:tc>
          <w:tcPr>
            <w:tcW w:w="1611" w:type="dxa"/>
            <w:shd w:val="clear" w:color="auto" w:fill="D9D9D9" w:themeFill="background1" w:themeFillShade="D9"/>
          </w:tcPr>
          <w:p w14:paraId="45DA81DD" w14:textId="76DC6836" w:rsidR="00054B7B" w:rsidRPr="00616282" w:rsidRDefault="00054B7B" w:rsidP="00FB0DA0">
            <w:pPr>
              <w:jc w:val="center"/>
              <w:rPr>
                <w:rFonts w:ascii="Calibri" w:hAnsi="Calibri" w:cs="Calibri"/>
                <w:b/>
                <w:bCs/>
                <w:color w:val="4472C4" w:themeColor="accent1"/>
                <w:lang w:val="en-GB"/>
              </w:rPr>
            </w:pPr>
            <w:r w:rsidRPr="00616282">
              <w:rPr>
                <w:rFonts w:ascii="Calibri" w:hAnsi="Calibri" w:cs="Calibri"/>
                <w:b/>
                <w:bCs/>
                <w:color w:val="4472C4" w:themeColor="accent1"/>
                <w:lang w:val="en-GB"/>
              </w:rPr>
              <w:t>Topic</w:t>
            </w:r>
          </w:p>
        </w:tc>
        <w:tc>
          <w:tcPr>
            <w:tcW w:w="2799" w:type="dxa"/>
            <w:shd w:val="clear" w:color="auto" w:fill="D9D9D9" w:themeFill="background1" w:themeFillShade="D9"/>
          </w:tcPr>
          <w:p w14:paraId="6AB4CF94" w14:textId="77777777" w:rsidR="00054B7B" w:rsidRPr="00616282" w:rsidRDefault="00054B7B" w:rsidP="00FB0DA0">
            <w:pPr>
              <w:jc w:val="center"/>
              <w:rPr>
                <w:rFonts w:ascii="Calibri" w:hAnsi="Calibri" w:cs="Calibri"/>
                <w:b/>
                <w:bCs/>
                <w:color w:val="4472C4" w:themeColor="accent1"/>
                <w:lang w:val="en-GB"/>
              </w:rPr>
            </w:pPr>
            <w:r w:rsidRPr="00616282">
              <w:rPr>
                <w:rFonts w:ascii="Calibri" w:hAnsi="Calibri" w:cs="Calibri"/>
                <w:b/>
                <w:bCs/>
                <w:color w:val="4472C4" w:themeColor="accent1"/>
                <w:lang w:val="en-GB"/>
              </w:rPr>
              <w:t>Description</w:t>
            </w:r>
          </w:p>
        </w:tc>
        <w:tc>
          <w:tcPr>
            <w:tcW w:w="2541" w:type="dxa"/>
            <w:vMerge/>
            <w:shd w:val="clear" w:color="auto" w:fill="D9D9D9" w:themeFill="background1" w:themeFillShade="D9"/>
          </w:tcPr>
          <w:p w14:paraId="358C47DE" w14:textId="3085008E" w:rsidR="00054B7B" w:rsidRPr="00616282" w:rsidRDefault="00054B7B" w:rsidP="00FB0DA0">
            <w:pPr>
              <w:jc w:val="center"/>
              <w:rPr>
                <w:rFonts w:ascii="Calibri" w:hAnsi="Calibri" w:cs="Calibri"/>
                <w:color w:val="4472C4" w:themeColor="accent1"/>
                <w:lang w:val="en-GB"/>
              </w:rPr>
            </w:pPr>
          </w:p>
        </w:tc>
      </w:tr>
      <w:tr w:rsidR="00634750" w:rsidRPr="004725EE" w14:paraId="0ADD6C04" w14:textId="77777777" w:rsidTr="00F31FB2">
        <w:tc>
          <w:tcPr>
            <w:tcW w:w="2065" w:type="dxa"/>
            <w:vMerge w:val="restart"/>
            <w:shd w:val="clear" w:color="auto" w:fill="FBE4D5" w:themeFill="accent2" w:themeFillTint="33"/>
          </w:tcPr>
          <w:p w14:paraId="2EBB61E0" w14:textId="77777777" w:rsidR="00634750" w:rsidRPr="00616282" w:rsidRDefault="00634750" w:rsidP="00773AE9">
            <w:pPr>
              <w:rPr>
                <w:rFonts w:ascii="Calibri" w:hAnsi="Calibri" w:cs="Calibri"/>
                <w:b/>
                <w:bCs/>
                <w:color w:val="4472C4" w:themeColor="accent1"/>
                <w:lang w:val="en-GB"/>
              </w:rPr>
            </w:pPr>
          </w:p>
          <w:p w14:paraId="4175B0E7" w14:textId="19C0EB7B" w:rsidR="00634750" w:rsidRPr="00616282" w:rsidRDefault="00634750" w:rsidP="00773AE9">
            <w:pPr>
              <w:rPr>
                <w:rFonts w:ascii="Calibri" w:hAnsi="Calibri" w:cs="Calibri"/>
                <w:b/>
                <w:bCs/>
                <w:color w:val="4472C4" w:themeColor="accent1"/>
                <w:lang w:val="en-GB"/>
              </w:rPr>
            </w:pPr>
            <w:r w:rsidRPr="00616282">
              <w:rPr>
                <w:rFonts w:ascii="Calibri" w:hAnsi="Calibri" w:cs="Calibri"/>
                <w:b/>
                <w:bCs/>
                <w:color w:val="4472C4" w:themeColor="accent1"/>
                <w:lang w:val="en-GB"/>
              </w:rPr>
              <w:t>3.3.2 Formulation</w:t>
            </w:r>
          </w:p>
          <w:p w14:paraId="1333955D" w14:textId="77777777" w:rsidR="00634750" w:rsidRPr="00616282" w:rsidRDefault="00634750" w:rsidP="00773AE9">
            <w:pPr>
              <w:rPr>
                <w:rFonts w:ascii="Calibri" w:hAnsi="Calibri" w:cs="Calibri"/>
                <w:b/>
                <w:bCs/>
                <w:color w:val="4472C4" w:themeColor="accent1"/>
                <w:lang w:val="en-GB"/>
              </w:rPr>
            </w:pPr>
          </w:p>
          <w:p w14:paraId="67873638" w14:textId="573983F4" w:rsidR="00634750" w:rsidRPr="00616282" w:rsidRDefault="00634750" w:rsidP="00773AE9">
            <w:pPr>
              <w:rPr>
                <w:rFonts w:ascii="Calibri" w:hAnsi="Calibri" w:cs="Calibri"/>
                <w:b/>
                <w:bCs/>
                <w:color w:val="4472C4" w:themeColor="accent1"/>
                <w:lang w:val="en-GB"/>
              </w:rPr>
            </w:pPr>
            <w:r w:rsidRPr="00616282">
              <w:rPr>
                <w:rFonts w:ascii="Calibri" w:hAnsi="Calibri" w:cs="Calibri"/>
                <w:b/>
                <w:bCs/>
                <w:color w:val="4472C4" w:themeColor="accent1"/>
                <w:lang w:val="en-GB"/>
              </w:rPr>
              <w:t>3.3.3 Implementation</w:t>
            </w:r>
          </w:p>
        </w:tc>
        <w:tc>
          <w:tcPr>
            <w:tcW w:w="1611" w:type="dxa"/>
          </w:tcPr>
          <w:p w14:paraId="4937EC84" w14:textId="2DB87BDF" w:rsidR="00634750" w:rsidRPr="00616282" w:rsidRDefault="00634750" w:rsidP="00773AE9">
            <w:pPr>
              <w:rPr>
                <w:rFonts w:ascii="Calibri" w:hAnsi="Calibri" w:cs="Calibri"/>
                <w:color w:val="4472C4" w:themeColor="accent1"/>
                <w:lang w:val="en-GB"/>
              </w:rPr>
            </w:pPr>
            <w:r w:rsidRPr="00616282">
              <w:rPr>
                <w:rFonts w:ascii="Calibri" w:hAnsi="Calibri" w:cs="Calibri"/>
                <w:b/>
                <w:bCs/>
                <w:color w:val="4472C4" w:themeColor="accent1"/>
                <w:lang w:val="en-GB"/>
              </w:rPr>
              <w:t>Climate-related risks and opportunities</w:t>
            </w:r>
          </w:p>
        </w:tc>
        <w:tc>
          <w:tcPr>
            <w:tcW w:w="2799" w:type="dxa"/>
          </w:tcPr>
          <w:p w14:paraId="01796C8F" w14:textId="5A9D6F93" w:rsidR="00634750" w:rsidRPr="00616282" w:rsidRDefault="00634750" w:rsidP="00CB4FD6">
            <w:pPr>
              <w:rPr>
                <w:rFonts w:ascii="Calibri" w:hAnsi="Calibri" w:cs="Calibri"/>
                <w:lang w:val="en-GB"/>
              </w:rPr>
            </w:pPr>
            <w:r w:rsidRPr="00616282">
              <w:rPr>
                <w:rFonts w:ascii="Calibri" w:hAnsi="Calibri" w:cs="Calibri"/>
                <w:lang w:val="en-GB"/>
              </w:rPr>
              <w:t xml:space="preserve">Explanation of the effects of physical and transition climate-related risks and opportunities that could reasonably be expected to affect the entity’s prospects over the short, </w:t>
            </w:r>
            <w:r w:rsidR="00DD4F7B" w:rsidRPr="00616282">
              <w:rPr>
                <w:rFonts w:ascii="Calibri" w:hAnsi="Calibri" w:cs="Calibri"/>
                <w:lang w:val="en-GB"/>
              </w:rPr>
              <w:t>medium,</w:t>
            </w:r>
            <w:r w:rsidRPr="00616282">
              <w:rPr>
                <w:rFonts w:ascii="Calibri" w:hAnsi="Calibri" w:cs="Calibri"/>
                <w:lang w:val="en-GB"/>
              </w:rPr>
              <w:t xml:space="preserve"> or long term, and its linkage planning and strategic decision-making.</w:t>
            </w:r>
          </w:p>
        </w:tc>
        <w:tc>
          <w:tcPr>
            <w:tcW w:w="2541" w:type="dxa"/>
            <w:vMerge w:val="restart"/>
          </w:tcPr>
          <w:p w14:paraId="533A195F" w14:textId="77777777" w:rsidR="004F4139" w:rsidRPr="00616282" w:rsidRDefault="00634750" w:rsidP="00CB4FD6">
            <w:pPr>
              <w:pStyle w:val="NormalWeb"/>
              <w:rPr>
                <w:rFonts w:ascii="Calibri" w:hAnsi="Calibri" w:cs="Calibri"/>
                <w:lang w:val="en-GB" w:eastAsia="en-GB"/>
              </w:rPr>
            </w:pPr>
            <w:r w:rsidRPr="00616282">
              <w:rPr>
                <w:rFonts w:ascii="Calibri" w:hAnsi="Calibri" w:cs="Calibri"/>
                <w:b/>
                <w:bCs/>
                <w:lang w:val="en-GB" w:eastAsia="en-GB"/>
              </w:rPr>
              <w:t>Principle 1:</w:t>
            </w:r>
            <w:r w:rsidRPr="00616282">
              <w:rPr>
                <w:rFonts w:ascii="Calibri" w:hAnsi="Calibri" w:cs="Calibri"/>
                <w:lang w:val="en-GB" w:eastAsia="en-GB"/>
              </w:rPr>
              <w:t xml:space="preserve"> Banks should develop and implement a sound process for understanding and assessing the potential impacts of climate-related risk drivers on their businesses and on the environments in which they operate. </w:t>
            </w:r>
          </w:p>
          <w:p w14:paraId="664478DB" w14:textId="5809F7A2" w:rsidR="00634750" w:rsidRPr="00616282" w:rsidRDefault="00634750" w:rsidP="00CB4FD6">
            <w:pPr>
              <w:pStyle w:val="NormalWeb"/>
              <w:rPr>
                <w:rFonts w:ascii="Calibri" w:hAnsi="Calibri" w:cs="Calibri"/>
                <w:lang w:val="en-GB" w:eastAsia="en-GB"/>
              </w:rPr>
            </w:pPr>
            <w:r w:rsidRPr="00616282">
              <w:rPr>
                <w:rFonts w:ascii="Calibri" w:hAnsi="Calibri" w:cs="Calibri"/>
                <w:lang w:val="en-GB" w:eastAsia="en-GB"/>
              </w:rPr>
              <w:t xml:space="preserve">Banks should consider material climate-related financial risks that could materialise over various time </w:t>
            </w:r>
            <w:proofErr w:type="gramStart"/>
            <w:r w:rsidRPr="00616282">
              <w:rPr>
                <w:rFonts w:ascii="Calibri" w:hAnsi="Calibri" w:cs="Calibri"/>
                <w:lang w:val="en-GB" w:eastAsia="en-GB"/>
              </w:rPr>
              <w:t>horizons</w:t>
            </w:r>
            <w:r w:rsidR="00773AE9">
              <w:rPr>
                <w:rFonts w:ascii="Calibri" w:hAnsi="Calibri" w:cs="Calibri"/>
                <w:lang w:val="en-GB" w:eastAsia="en-GB"/>
              </w:rPr>
              <w:t>,</w:t>
            </w:r>
            <w:r w:rsidRPr="00616282">
              <w:rPr>
                <w:rFonts w:ascii="Calibri" w:hAnsi="Calibri" w:cs="Calibri"/>
                <w:lang w:val="en-GB" w:eastAsia="en-GB"/>
              </w:rPr>
              <w:t xml:space="preserve"> and</w:t>
            </w:r>
            <w:proofErr w:type="gramEnd"/>
            <w:r w:rsidRPr="00616282">
              <w:rPr>
                <w:rFonts w:ascii="Calibri" w:hAnsi="Calibri" w:cs="Calibri"/>
                <w:lang w:val="en-GB" w:eastAsia="en-GB"/>
              </w:rPr>
              <w:t xml:space="preserve"> incorporate these risks into their overall business strategies and risk management frameworks.</w:t>
            </w:r>
          </w:p>
          <w:p w14:paraId="66028CB8" w14:textId="20D69046" w:rsidR="00634750" w:rsidRPr="00616282" w:rsidRDefault="00634750" w:rsidP="00CB4FD6">
            <w:pPr>
              <w:rPr>
                <w:rFonts w:ascii="Calibri" w:hAnsi="Calibri" w:cs="Calibri"/>
                <w:lang w:val="en-GB"/>
              </w:rPr>
            </w:pPr>
          </w:p>
        </w:tc>
      </w:tr>
      <w:tr w:rsidR="00634750" w:rsidRPr="004725EE" w14:paraId="020850E6" w14:textId="77777777" w:rsidTr="00F31FB2">
        <w:tc>
          <w:tcPr>
            <w:tcW w:w="2065" w:type="dxa"/>
            <w:vMerge/>
            <w:shd w:val="clear" w:color="auto" w:fill="FBE4D5" w:themeFill="accent2" w:themeFillTint="33"/>
          </w:tcPr>
          <w:p w14:paraId="6B85864E" w14:textId="6351EEDA" w:rsidR="00634750" w:rsidRPr="00616282" w:rsidRDefault="00634750" w:rsidP="00773AE9">
            <w:pPr>
              <w:rPr>
                <w:rFonts w:ascii="Calibri" w:hAnsi="Calibri" w:cs="Calibri"/>
                <w:b/>
                <w:bCs/>
                <w:color w:val="003299"/>
                <w:lang w:val="en-GB"/>
              </w:rPr>
            </w:pPr>
          </w:p>
        </w:tc>
        <w:tc>
          <w:tcPr>
            <w:tcW w:w="1611" w:type="dxa"/>
          </w:tcPr>
          <w:p w14:paraId="7C7E48A8" w14:textId="1974EE75" w:rsidR="00634750" w:rsidRPr="00616282" w:rsidRDefault="00634750" w:rsidP="00773AE9">
            <w:pPr>
              <w:rPr>
                <w:rFonts w:ascii="Calibri" w:hAnsi="Calibri" w:cs="Calibri"/>
                <w:color w:val="4472C4" w:themeColor="accent1"/>
                <w:lang w:val="en-GB"/>
              </w:rPr>
            </w:pPr>
            <w:r w:rsidRPr="00616282">
              <w:rPr>
                <w:rFonts w:ascii="Calibri" w:hAnsi="Calibri" w:cs="Calibri"/>
                <w:b/>
                <w:bCs/>
                <w:color w:val="4472C4" w:themeColor="accent1"/>
                <w:lang w:val="en-GB"/>
              </w:rPr>
              <w:t>Business model and value chain</w:t>
            </w:r>
          </w:p>
        </w:tc>
        <w:tc>
          <w:tcPr>
            <w:tcW w:w="2799" w:type="dxa"/>
          </w:tcPr>
          <w:p w14:paraId="13B64BA5" w14:textId="64CE3763" w:rsidR="00634750" w:rsidRPr="00616282" w:rsidRDefault="00634750" w:rsidP="00CB4FD6">
            <w:pPr>
              <w:rPr>
                <w:rFonts w:ascii="Calibri" w:hAnsi="Calibri" w:cs="Calibri"/>
                <w:lang w:val="en-GB"/>
              </w:rPr>
            </w:pPr>
            <w:r w:rsidRPr="00616282">
              <w:rPr>
                <w:rFonts w:ascii="Calibri" w:hAnsi="Calibri" w:cs="Calibri"/>
                <w:lang w:val="en-GB"/>
              </w:rPr>
              <w:t xml:space="preserve">Description of the current and anticipated effects of climate-related risks and opportunities on the bank’s business model and value chain, with a level of granularity to assess sector, segment, financial </w:t>
            </w:r>
            <w:r w:rsidR="0014377D" w:rsidRPr="00616282">
              <w:rPr>
                <w:rFonts w:ascii="Calibri" w:hAnsi="Calibri" w:cs="Calibri"/>
                <w:lang w:val="en-GB"/>
              </w:rPr>
              <w:t>product,</w:t>
            </w:r>
            <w:r w:rsidRPr="00616282">
              <w:rPr>
                <w:rFonts w:ascii="Calibri" w:hAnsi="Calibri" w:cs="Calibri"/>
                <w:lang w:val="en-GB"/>
              </w:rPr>
              <w:t xml:space="preserve"> and geographical concentration.</w:t>
            </w:r>
          </w:p>
        </w:tc>
        <w:tc>
          <w:tcPr>
            <w:tcW w:w="2541" w:type="dxa"/>
            <w:vMerge/>
          </w:tcPr>
          <w:p w14:paraId="2CDBA9A8" w14:textId="670FDAA9" w:rsidR="00634750" w:rsidRPr="00616282" w:rsidRDefault="00634750" w:rsidP="00CB4FD6">
            <w:pPr>
              <w:rPr>
                <w:rFonts w:ascii="Calibri" w:hAnsi="Calibri" w:cs="Calibri"/>
                <w:lang w:val="en-GB"/>
              </w:rPr>
            </w:pPr>
          </w:p>
        </w:tc>
      </w:tr>
      <w:tr w:rsidR="00634750" w:rsidRPr="004725EE" w14:paraId="4D947C91" w14:textId="77777777" w:rsidTr="00F31FB2">
        <w:tc>
          <w:tcPr>
            <w:tcW w:w="2065" w:type="dxa"/>
            <w:vMerge/>
            <w:shd w:val="clear" w:color="auto" w:fill="FBE4D5" w:themeFill="accent2" w:themeFillTint="33"/>
          </w:tcPr>
          <w:p w14:paraId="14144A3E" w14:textId="59451050" w:rsidR="00634750" w:rsidRPr="00616282" w:rsidRDefault="00634750" w:rsidP="00773AE9">
            <w:pPr>
              <w:rPr>
                <w:rFonts w:ascii="Calibri" w:hAnsi="Calibri" w:cs="Calibri"/>
                <w:b/>
                <w:bCs/>
                <w:color w:val="003299"/>
                <w:lang w:val="en-GB"/>
              </w:rPr>
            </w:pPr>
          </w:p>
        </w:tc>
        <w:tc>
          <w:tcPr>
            <w:tcW w:w="1611" w:type="dxa"/>
          </w:tcPr>
          <w:p w14:paraId="6970F953" w14:textId="49CED522" w:rsidR="00634750" w:rsidRPr="00616282" w:rsidRDefault="00634750" w:rsidP="00773AE9">
            <w:pPr>
              <w:rPr>
                <w:rFonts w:ascii="Calibri" w:hAnsi="Calibri" w:cs="Calibri"/>
                <w:color w:val="4472C4" w:themeColor="accent1"/>
                <w:lang w:val="en-GB"/>
              </w:rPr>
            </w:pPr>
            <w:r w:rsidRPr="00616282">
              <w:rPr>
                <w:rFonts w:ascii="Calibri" w:hAnsi="Calibri" w:cs="Calibri"/>
                <w:b/>
                <w:bCs/>
                <w:color w:val="4472C4" w:themeColor="accent1"/>
                <w:lang w:val="en-GB"/>
              </w:rPr>
              <w:t>Strategy and decision</w:t>
            </w:r>
            <w:r w:rsidRPr="00616282">
              <w:rPr>
                <w:rFonts w:ascii="Calibri" w:hAnsi="Calibri" w:cs="Calibri"/>
                <w:b/>
                <w:color w:val="4472C4" w:themeColor="accent1"/>
                <w:lang w:val="en-GB"/>
              </w:rPr>
              <w:t xml:space="preserve"> </w:t>
            </w:r>
            <w:r w:rsidRPr="00616282">
              <w:rPr>
                <w:rFonts w:ascii="Calibri" w:hAnsi="Calibri" w:cs="Calibri"/>
                <w:b/>
                <w:bCs/>
                <w:color w:val="4472C4" w:themeColor="accent1"/>
                <w:lang w:val="en-GB"/>
              </w:rPr>
              <w:t>-</w:t>
            </w:r>
            <w:r w:rsidRPr="00616282">
              <w:rPr>
                <w:rFonts w:ascii="Calibri" w:hAnsi="Calibri" w:cs="Calibri"/>
                <w:b/>
                <w:color w:val="4472C4" w:themeColor="accent1"/>
                <w:lang w:val="en-GB"/>
              </w:rPr>
              <w:t xml:space="preserve"> </w:t>
            </w:r>
            <w:r w:rsidRPr="00616282">
              <w:rPr>
                <w:rFonts w:ascii="Calibri" w:hAnsi="Calibri" w:cs="Calibri"/>
                <w:b/>
                <w:bCs/>
                <w:color w:val="4472C4" w:themeColor="accent1"/>
                <w:lang w:val="en-GB"/>
              </w:rPr>
              <w:t>making</w:t>
            </w:r>
          </w:p>
        </w:tc>
        <w:tc>
          <w:tcPr>
            <w:tcW w:w="2799" w:type="dxa"/>
          </w:tcPr>
          <w:p w14:paraId="2E19DCF7" w14:textId="04951201" w:rsidR="00634750" w:rsidRPr="00616282" w:rsidRDefault="00634750" w:rsidP="00CB4FD6">
            <w:pPr>
              <w:rPr>
                <w:rFonts w:ascii="Calibri" w:hAnsi="Calibri" w:cs="Calibri"/>
                <w:lang w:val="en-GB"/>
              </w:rPr>
            </w:pPr>
            <w:r w:rsidRPr="00616282">
              <w:rPr>
                <w:rFonts w:ascii="Calibri" w:hAnsi="Calibri" w:cs="Calibri"/>
                <w:lang w:val="en-GB"/>
              </w:rPr>
              <w:t xml:space="preserve">Description of how the bank is planning to address climate-related risks and opportunities in its strategy and decision-making, including target setting and monitoring, climate regulation compliance, business model changes, resource allocation, mitigation and adaptation efforts, and transition plans. </w:t>
            </w:r>
          </w:p>
        </w:tc>
        <w:tc>
          <w:tcPr>
            <w:tcW w:w="2541" w:type="dxa"/>
            <w:vMerge/>
          </w:tcPr>
          <w:p w14:paraId="313EB437" w14:textId="3C037136" w:rsidR="00634750" w:rsidRPr="00616282" w:rsidRDefault="00634750" w:rsidP="00CB4FD6">
            <w:pPr>
              <w:rPr>
                <w:rFonts w:ascii="Calibri" w:hAnsi="Calibri" w:cs="Calibri"/>
                <w:lang w:val="en-GB"/>
              </w:rPr>
            </w:pPr>
          </w:p>
        </w:tc>
      </w:tr>
      <w:tr w:rsidR="0083069C" w:rsidRPr="004725EE" w14:paraId="097B6B7D" w14:textId="77777777" w:rsidTr="00F31FB2">
        <w:tc>
          <w:tcPr>
            <w:tcW w:w="2065" w:type="dxa"/>
            <w:vMerge/>
            <w:shd w:val="clear" w:color="auto" w:fill="FBE4D5" w:themeFill="accent2" w:themeFillTint="33"/>
          </w:tcPr>
          <w:p w14:paraId="547BB7AB" w14:textId="498FB536" w:rsidR="005550C0" w:rsidRPr="00616282" w:rsidRDefault="005550C0" w:rsidP="00773AE9">
            <w:pPr>
              <w:rPr>
                <w:rFonts w:ascii="Calibri" w:hAnsi="Calibri" w:cs="Calibri"/>
                <w:b/>
                <w:bCs/>
                <w:color w:val="003299"/>
                <w:lang w:val="en-GB"/>
              </w:rPr>
            </w:pPr>
          </w:p>
        </w:tc>
        <w:tc>
          <w:tcPr>
            <w:tcW w:w="1611" w:type="dxa"/>
          </w:tcPr>
          <w:p w14:paraId="2941F1AA" w14:textId="001CB6F7" w:rsidR="005550C0" w:rsidRPr="00616282" w:rsidRDefault="005550C0" w:rsidP="00CB4FD6">
            <w:pPr>
              <w:rPr>
                <w:rFonts w:ascii="Calibri" w:hAnsi="Calibri" w:cs="Calibri"/>
                <w:color w:val="4472C4" w:themeColor="accent1"/>
                <w:lang w:val="en-GB"/>
              </w:rPr>
            </w:pPr>
            <w:r w:rsidRPr="00616282">
              <w:rPr>
                <w:rFonts w:ascii="Calibri" w:hAnsi="Calibri" w:cs="Calibri"/>
                <w:b/>
                <w:bCs/>
                <w:color w:val="4472C4" w:themeColor="accent1"/>
                <w:lang w:val="en-GB"/>
              </w:rPr>
              <w:t xml:space="preserve">Financial position, financial </w:t>
            </w:r>
            <w:r w:rsidR="0014377D" w:rsidRPr="00616282">
              <w:rPr>
                <w:rFonts w:ascii="Calibri" w:hAnsi="Calibri" w:cs="Calibri"/>
                <w:b/>
                <w:color w:val="4472C4" w:themeColor="accent1"/>
                <w:lang w:val="en-GB"/>
              </w:rPr>
              <w:t>p</w:t>
            </w:r>
            <w:r w:rsidR="0014377D" w:rsidRPr="00616282">
              <w:rPr>
                <w:rFonts w:ascii="Calibri" w:hAnsi="Calibri" w:cs="Calibri"/>
                <w:b/>
                <w:bCs/>
                <w:color w:val="4472C4" w:themeColor="accent1"/>
                <w:lang w:val="en-GB"/>
              </w:rPr>
              <w:t>erformance,</w:t>
            </w:r>
            <w:r w:rsidRPr="00616282">
              <w:rPr>
                <w:rFonts w:ascii="Calibri" w:hAnsi="Calibri" w:cs="Calibri"/>
                <w:b/>
                <w:bCs/>
                <w:color w:val="4472C4" w:themeColor="accent1"/>
                <w:lang w:val="en-GB"/>
              </w:rPr>
              <w:t xml:space="preserve"> and cash flows</w:t>
            </w:r>
          </w:p>
        </w:tc>
        <w:tc>
          <w:tcPr>
            <w:tcW w:w="2799" w:type="dxa"/>
          </w:tcPr>
          <w:p w14:paraId="1CB16C15" w14:textId="68A3D953" w:rsidR="005550C0" w:rsidRPr="00616282" w:rsidRDefault="00C90D83" w:rsidP="00CB4FD6">
            <w:pPr>
              <w:rPr>
                <w:rFonts w:ascii="Calibri" w:hAnsi="Calibri" w:cs="Calibri"/>
                <w:lang w:val="en-GB"/>
              </w:rPr>
            </w:pPr>
            <w:r w:rsidRPr="00616282">
              <w:rPr>
                <w:rFonts w:ascii="Calibri" w:hAnsi="Calibri" w:cs="Calibri"/>
                <w:lang w:val="en-GB"/>
              </w:rPr>
              <w:t xml:space="preserve">Description of the effects of </w:t>
            </w:r>
            <w:r w:rsidR="002C20FC" w:rsidRPr="00616282">
              <w:rPr>
                <w:rFonts w:ascii="Calibri" w:hAnsi="Calibri" w:cs="Calibri"/>
                <w:lang w:val="en-GB"/>
              </w:rPr>
              <w:t>c</w:t>
            </w:r>
            <w:r w:rsidRPr="00616282">
              <w:rPr>
                <w:rFonts w:ascii="Calibri" w:hAnsi="Calibri" w:cs="Calibri"/>
                <w:lang w:val="en-GB"/>
              </w:rPr>
              <w:t>limate-related risks and</w:t>
            </w:r>
            <w:r w:rsidR="002C20FC" w:rsidRPr="00616282">
              <w:rPr>
                <w:rFonts w:ascii="Calibri" w:hAnsi="Calibri" w:cs="Calibri"/>
                <w:lang w:val="en-GB"/>
              </w:rPr>
              <w:t xml:space="preserve"> </w:t>
            </w:r>
            <w:r w:rsidRPr="00616282">
              <w:rPr>
                <w:rFonts w:ascii="Calibri" w:hAnsi="Calibri" w:cs="Calibri"/>
                <w:lang w:val="en-GB"/>
              </w:rPr>
              <w:t>opportunities on the current</w:t>
            </w:r>
            <w:r w:rsidR="002C20FC" w:rsidRPr="00616282">
              <w:rPr>
                <w:rFonts w:ascii="Calibri" w:hAnsi="Calibri" w:cs="Calibri"/>
                <w:lang w:val="en-GB"/>
              </w:rPr>
              <w:t xml:space="preserve"> </w:t>
            </w:r>
            <w:r w:rsidRPr="00616282">
              <w:rPr>
                <w:rFonts w:ascii="Calibri" w:hAnsi="Calibri" w:cs="Calibri"/>
                <w:lang w:val="en-GB"/>
              </w:rPr>
              <w:t>and anticipated financial</w:t>
            </w:r>
            <w:r w:rsidR="002C20FC" w:rsidRPr="00616282">
              <w:rPr>
                <w:rFonts w:ascii="Calibri" w:hAnsi="Calibri" w:cs="Calibri"/>
                <w:lang w:val="en-GB"/>
              </w:rPr>
              <w:t xml:space="preserve"> </w:t>
            </w:r>
            <w:r w:rsidRPr="00616282">
              <w:rPr>
                <w:rFonts w:ascii="Calibri" w:hAnsi="Calibri" w:cs="Calibri"/>
                <w:lang w:val="en-GB"/>
              </w:rPr>
              <w:t xml:space="preserve">performance and cash flows </w:t>
            </w:r>
            <w:r w:rsidR="001E7701" w:rsidRPr="00616282">
              <w:rPr>
                <w:rFonts w:ascii="Calibri" w:hAnsi="Calibri" w:cs="Calibri"/>
                <w:lang w:val="en-GB"/>
              </w:rPr>
              <w:t xml:space="preserve">over the short, </w:t>
            </w:r>
            <w:r w:rsidR="0014377D" w:rsidRPr="00616282">
              <w:rPr>
                <w:rFonts w:ascii="Calibri" w:hAnsi="Calibri" w:cs="Calibri"/>
                <w:lang w:val="en-GB"/>
              </w:rPr>
              <w:t>medium,</w:t>
            </w:r>
            <w:r w:rsidR="001E7701" w:rsidRPr="00616282">
              <w:rPr>
                <w:rFonts w:ascii="Calibri" w:hAnsi="Calibri" w:cs="Calibri"/>
                <w:lang w:val="en-GB"/>
              </w:rPr>
              <w:t xml:space="preserve"> and long term</w:t>
            </w:r>
            <w:r w:rsidR="002C20FC" w:rsidRPr="00616282">
              <w:rPr>
                <w:rFonts w:ascii="Calibri" w:hAnsi="Calibri" w:cs="Calibri"/>
                <w:lang w:val="en-GB"/>
              </w:rPr>
              <w:t>.</w:t>
            </w:r>
          </w:p>
          <w:p w14:paraId="61E0D8BA" w14:textId="02C9848C" w:rsidR="00776C6F" w:rsidRPr="00616282" w:rsidRDefault="00776C6F" w:rsidP="00CB4FD6">
            <w:pPr>
              <w:rPr>
                <w:rFonts w:ascii="Calibri" w:hAnsi="Calibri" w:cs="Calibri"/>
                <w:lang w:val="en-GB"/>
              </w:rPr>
            </w:pPr>
          </w:p>
        </w:tc>
        <w:tc>
          <w:tcPr>
            <w:tcW w:w="2541" w:type="dxa"/>
          </w:tcPr>
          <w:p w14:paraId="09E74CD6" w14:textId="6D3A9713" w:rsidR="005550C0" w:rsidRPr="00616282" w:rsidRDefault="00035776" w:rsidP="00CB4FD6">
            <w:pPr>
              <w:rPr>
                <w:rFonts w:ascii="Calibri" w:hAnsi="Calibri" w:cs="Calibri"/>
                <w:lang w:val="en-GB"/>
              </w:rPr>
            </w:pPr>
            <w:r w:rsidRPr="00616282">
              <w:rPr>
                <w:rFonts w:ascii="Calibri" w:hAnsi="Calibri" w:cs="Calibri"/>
                <w:b/>
                <w:bCs/>
                <w:lang w:val="en-GB"/>
              </w:rPr>
              <w:t>Principle 5:</w:t>
            </w:r>
            <w:r w:rsidRPr="00616282">
              <w:rPr>
                <w:rFonts w:ascii="Calibri" w:hAnsi="Calibri" w:cs="Calibri"/>
                <w:lang w:val="en-GB"/>
              </w:rPr>
              <w:t xml:space="preserve"> Banks should identify and quantify climate-related financial risks and incorporate those assessed as material over relevant time horizons into their </w:t>
            </w:r>
            <w:r w:rsidRPr="00616282">
              <w:rPr>
                <w:rFonts w:ascii="Calibri" w:hAnsi="Calibri" w:cs="Calibri"/>
                <w:lang w:val="en-GB"/>
              </w:rPr>
              <w:lastRenderedPageBreak/>
              <w:t>internal capital and liquidity adequacy assessment processes, including their stress testing programmes where appropriate.</w:t>
            </w:r>
          </w:p>
        </w:tc>
      </w:tr>
      <w:tr w:rsidR="0083069C" w:rsidRPr="004725EE" w14:paraId="4AC3FAF5" w14:textId="77777777" w:rsidTr="00F31FB2">
        <w:tc>
          <w:tcPr>
            <w:tcW w:w="2065" w:type="dxa"/>
            <w:vMerge/>
            <w:shd w:val="clear" w:color="auto" w:fill="FBE4D5" w:themeFill="accent2" w:themeFillTint="33"/>
          </w:tcPr>
          <w:p w14:paraId="5ED7414C" w14:textId="2927C4E4" w:rsidR="005550C0" w:rsidRPr="00616282" w:rsidRDefault="005550C0" w:rsidP="00773AE9">
            <w:pPr>
              <w:rPr>
                <w:rFonts w:ascii="Calibri" w:hAnsi="Calibri" w:cs="Calibri"/>
                <w:b/>
                <w:bCs/>
                <w:color w:val="003299"/>
                <w:lang w:val="en-GB"/>
              </w:rPr>
            </w:pPr>
          </w:p>
        </w:tc>
        <w:tc>
          <w:tcPr>
            <w:tcW w:w="1611" w:type="dxa"/>
          </w:tcPr>
          <w:p w14:paraId="02F0E4DE" w14:textId="7B2FC041" w:rsidR="005550C0" w:rsidRPr="00616282" w:rsidRDefault="005550C0" w:rsidP="00773AE9">
            <w:pPr>
              <w:rPr>
                <w:rFonts w:ascii="Calibri" w:hAnsi="Calibri" w:cs="Calibri"/>
                <w:color w:val="4472C4" w:themeColor="accent1"/>
                <w:lang w:val="en-GB"/>
              </w:rPr>
            </w:pPr>
            <w:r w:rsidRPr="00616282">
              <w:rPr>
                <w:rFonts w:ascii="Calibri" w:hAnsi="Calibri" w:cs="Calibri"/>
                <w:b/>
                <w:bCs/>
                <w:color w:val="4472C4" w:themeColor="accent1"/>
                <w:lang w:val="en-GB"/>
              </w:rPr>
              <w:t>Climate resilience</w:t>
            </w:r>
          </w:p>
        </w:tc>
        <w:tc>
          <w:tcPr>
            <w:tcW w:w="2799" w:type="dxa"/>
          </w:tcPr>
          <w:p w14:paraId="61D34153" w14:textId="6351581C" w:rsidR="005550C0" w:rsidRPr="00616282" w:rsidRDefault="002C20FC" w:rsidP="00CB4FD6">
            <w:pPr>
              <w:rPr>
                <w:rFonts w:ascii="Calibri" w:hAnsi="Calibri" w:cs="Calibri"/>
                <w:lang w:val="en-GB"/>
              </w:rPr>
            </w:pPr>
            <w:r w:rsidRPr="00616282">
              <w:rPr>
                <w:rFonts w:ascii="Calibri" w:hAnsi="Calibri" w:cs="Calibri"/>
                <w:lang w:val="en-GB"/>
              </w:rPr>
              <w:t>Provi</w:t>
            </w:r>
            <w:r w:rsidR="00951AA1" w:rsidRPr="00616282">
              <w:rPr>
                <w:rFonts w:ascii="Calibri" w:hAnsi="Calibri" w:cs="Calibri"/>
                <w:lang w:val="en-GB"/>
              </w:rPr>
              <w:t>sion of</w:t>
            </w:r>
            <w:r w:rsidRPr="00616282">
              <w:rPr>
                <w:rFonts w:ascii="Calibri" w:hAnsi="Calibri" w:cs="Calibri"/>
                <w:lang w:val="en-GB"/>
              </w:rPr>
              <w:t xml:space="preserve"> information to understand the resilience of the bank’s strategy and business model </w:t>
            </w:r>
            <w:r w:rsidR="00C948BD" w:rsidRPr="00616282">
              <w:rPr>
                <w:rFonts w:ascii="Calibri" w:hAnsi="Calibri" w:cs="Calibri"/>
                <w:lang w:val="en-GB"/>
              </w:rPr>
              <w:t>considering climate-related risks and opportunitie</w:t>
            </w:r>
            <w:r w:rsidR="007F0673" w:rsidRPr="00616282">
              <w:rPr>
                <w:rFonts w:ascii="Calibri" w:hAnsi="Calibri" w:cs="Calibri"/>
                <w:lang w:val="en-GB"/>
              </w:rPr>
              <w:t>s</w:t>
            </w:r>
            <w:r w:rsidRPr="00616282">
              <w:rPr>
                <w:rFonts w:ascii="Calibri" w:hAnsi="Calibri" w:cs="Calibri"/>
                <w:lang w:val="en-GB"/>
              </w:rPr>
              <w:t xml:space="preserve">, </w:t>
            </w:r>
            <w:r w:rsidR="00C948BD" w:rsidRPr="00616282">
              <w:rPr>
                <w:rFonts w:ascii="Calibri" w:hAnsi="Calibri" w:cs="Calibri"/>
                <w:lang w:val="en-GB"/>
              </w:rPr>
              <w:t xml:space="preserve">paired with </w:t>
            </w:r>
            <w:r w:rsidRPr="00616282">
              <w:rPr>
                <w:rFonts w:ascii="Calibri" w:hAnsi="Calibri" w:cs="Calibri"/>
                <w:lang w:val="en-GB"/>
              </w:rPr>
              <w:t>climate-related scenario analysis</w:t>
            </w:r>
            <w:r w:rsidR="00C948BD" w:rsidRPr="00616282">
              <w:rPr>
                <w:rFonts w:ascii="Calibri" w:hAnsi="Calibri" w:cs="Calibri"/>
                <w:lang w:val="en-GB"/>
              </w:rPr>
              <w:t>.</w:t>
            </w:r>
          </w:p>
          <w:p w14:paraId="6E88CD78" w14:textId="0AE6A140" w:rsidR="00776C6F" w:rsidRPr="00616282" w:rsidRDefault="00776C6F" w:rsidP="00CB4FD6">
            <w:pPr>
              <w:rPr>
                <w:rFonts w:ascii="Calibri" w:hAnsi="Calibri" w:cs="Calibri"/>
                <w:lang w:val="en-GB"/>
              </w:rPr>
            </w:pPr>
          </w:p>
        </w:tc>
        <w:tc>
          <w:tcPr>
            <w:tcW w:w="2541" w:type="dxa"/>
          </w:tcPr>
          <w:p w14:paraId="113F76F9" w14:textId="1FEC0D97" w:rsidR="005550C0" w:rsidRPr="00616282" w:rsidRDefault="00634750" w:rsidP="00CB4FD6">
            <w:pPr>
              <w:pStyle w:val="NormalWeb"/>
              <w:rPr>
                <w:rFonts w:ascii="Calibri" w:hAnsi="Calibri" w:cs="Calibri"/>
                <w:lang w:val="en-GB"/>
              </w:rPr>
            </w:pPr>
            <w:r w:rsidRPr="00616282">
              <w:rPr>
                <w:rFonts w:ascii="Calibri" w:hAnsi="Calibri" w:cs="Calibri"/>
                <w:b/>
                <w:lang w:val="en-GB"/>
              </w:rPr>
              <w:t>Principle 12</w:t>
            </w:r>
            <w:r w:rsidRPr="00616282">
              <w:rPr>
                <w:rFonts w:ascii="Calibri" w:hAnsi="Calibri" w:cs="Calibri"/>
                <w:lang w:val="en-GB"/>
              </w:rPr>
              <w:t>: Where appropriate, banks should make use of scenario analysis to assess the resilience of their business models and strategies to a range of plausible climate-related pathways and determine the impact of climate-related risk drivers on their overall risk profile. These analyses should consider physical and transition risks as drivers of credit, market, operational and liquidity risks over a range of relevant time horizons.</w:t>
            </w:r>
          </w:p>
        </w:tc>
      </w:tr>
    </w:tbl>
    <w:p w14:paraId="55A5FB9E" w14:textId="77777777" w:rsidR="005C24D1" w:rsidRPr="00616282" w:rsidRDefault="005C24D1" w:rsidP="00FB0DA0">
      <w:pPr>
        <w:outlineLvl w:val="0"/>
        <w:rPr>
          <w:rFonts w:ascii="Calibri" w:hAnsi="Calibri" w:cs="Calibri"/>
          <w:b/>
          <w:bCs/>
          <w:color w:val="ED7D31" w:themeColor="accent2"/>
          <w:lang w:val="en-GB"/>
        </w:rPr>
      </w:pPr>
    </w:p>
    <w:p w14:paraId="05E4029E" w14:textId="271C96E4" w:rsidR="00256117" w:rsidRPr="00616282" w:rsidRDefault="00256117" w:rsidP="00256117">
      <w:pPr>
        <w:jc w:val="both"/>
        <w:rPr>
          <w:rFonts w:ascii="Calibri" w:hAnsi="Calibri" w:cs="Calibri"/>
          <w:lang w:val="en-GB"/>
        </w:rPr>
      </w:pPr>
      <w:r w:rsidRPr="00616282">
        <w:rPr>
          <w:rFonts w:ascii="Calibri" w:hAnsi="Calibri" w:cs="Calibri"/>
          <w:lang w:val="en-GB"/>
        </w:rPr>
        <w:t>The Reporting Template includes a questionnaire on strategic considerations of climate-related issues accordingly.</w:t>
      </w:r>
    </w:p>
    <w:p w14:paraId="4825873D" w14:textId="77777777" w:rsidR="00952A92" w:rsidRPr="00616282" w:rsidRDefault="00952A92" w:rsidP="00616282">
      <w:pPr>
        <w:outlineLvl w:val="0"/>
        <w:rPr>
          <w:rFonts w:ascii="Calibri" w:hAnsi="Calibri" w:cs="Calibri"/>
          <w:b/>
          <w:bCs/>
          <w:color w:val="ED7D31" w:themeColor="accent2"/>
          <w:lang w:val="en-GB"/>
        </w:rPr>
      </w:pPr>
    </w:p>
    <w:p w14:paraId="62C20327" w14:textId="744B5C43" w:rsidR="00952A92" w:rsidRPr="00616282" w:rsidRDefault="00952A92" w:rsidP="00616282">
      <w:pPr>
        <w:rPr>
          <w:rFonts w:ascii="Calibri" w:hAnsi="Calibri" w:cs="Calibri"/>
          <w:b/>
          <w:bCs/>
          <w:color w:val="ED7D31" w:themeColor="accent2"/>
          <w:lang w:val="en-GB"/>
        </w:rPr>
      </w:pPr>
      <w:bookmarkStart w:id="53" w:name="_Toc171908205"/>
      <w:r w:rsidRPr="00616282">
        <w:rPr>
          <w:rFonts w:ascii="Calibri" w:hAnsi="Calibri" w:cs="Calibri"/>
          <w:b/>
          <w:bCs/>
          <w:color w:val="ED7D31" w:themeColor="accent2"/>
          <w:lang w:val="en-GB"/>
        </w:rPr>
        <w:t xml:space="preserve">Table </w:t>
      </w:r>
      <w:r w:rsidRPr="00616282">
        <w:rPr>
          <w:rFonts w:ascii="Calibri" w:hAnsi="Calibri" w:cs="Calibri"/>
          <w:b/>
          <w:bCs/>
          <w:color w:val="ED7D31" w:themeColor="accent2"/>
          <w:lang w:val="en-GB"/>
        </w:rPr>
        <w:fldChar w:fldCharType="begin"/>
      </w:r>
      <w:r w:rsidRPr="00616282">
        <w:rPr>
          <w:rFonts w:ascii="Calibri" w:hAnsi="Calibri" w:cs="Calibri"/>
          <w:b/>
          <w:bCs/>
          <w:color w:val="ED7D31" w:themeColor="accent2"/>
          <w:lang w:val="en-GB"/>
        </w:rPr>
        <w:instrText xml:space="preserve"> SEQ Table \* ARABIC </w:instrText>
      </w:r>
      <w:r w:rsidRPr="00616282">
        <w:rPr>
          <w:rFonts w:ascii="Calibri" w:hAnsi="Calibri" w:cs="Calibri"/>
          <w:b/>
          <w:bCs/>
          <w:color w:val="ED7D31" w:themeColor="accent2"/>
          <w:lang w:val="en-GB"/>
        </w:rPr>
        <w:fldChar w:fldCharType="separate"/>
      </w:r>
      <w:r w:rsidR="0096670A">
        <w:rPr>
          <w:rFonts w:ascii="Calibri" w:hAnsi="Calibri" w:cs="Calibri"/>
          <w:b/>
          <w:bCs/>
          <w:noProof/>
          <w:color w:val="ED7D31" w:themeColor="accent2"/>
          <w:lang w:val="en-GB"/>
        </w:rPr>
        <w:t>11</w:t>
      </w:r>
      <w:r w:rsidRPr="00616282">
        <w:rPr>
          <w:rFonts w:ascii="Calibri" w:hAnsi="Calibri" w:cs="Calibri"/>
          <w:b/>
          <w:bCs/>
          <w:color w:val="ED7D31" w:themeColor="accent2"/>
          <w:lang w:val="en-GB"/>
        </w:rPr>
        <w:fldChar w:fldCharType="end"/>
      </w:r>
      <w:r w:rsidRPr="00616282">
        <w:rPr>
          <w:rFonts w:ascii="Calibri" w:hAnsi="Calibri" w:cs="Calibri"/>
          <w:b/>
          <w:bCs/>
          <w:color w:val="ED7D31" w:themeColor="accent2"/>
          <w:lang w:val="en-GB"/>
        </w:rPr>
        <w:t>. Qualitative questionnaire on business strategy</w:t>
      </w:r>
      <w:bookmarkEnd w:id="53"/>
    </w:p>
    <w:p w14:paraId="539778DA" w14:textId="6E32874D" w:rsidR="00256117" w:rsidRPr="00616282" w:rsidRDefault="00256117" w:rsidP="00616282">
      <w:pPr>
        <w:rPr>
          <w:rFonts w:ascii="Calibri" w:hAnsi="Calibri" w:cs="Calibri"/>
        </w:rPr>
      </w:pPr>
    </w:p>
    <w:p w14:paraId="004FBB89" w14:textId="0D02217F" w:rsidR="00FA5425" w:rsidRPr="00616282" w:rsidRDefault="00FA5425" w:rsidP="00616282">
      <w:pPr>
        <w:rPr>
          <w:rFonts w:ascii="Calibri" w:hAnsi="Calibri" w:cs="Calibri"/>
        </w:rPr>
      </w:pPr>
      <w:r w:rsidRPr="00616282">
        <w:rPr>
          <w:rFonts w:ascii="Calibri" w:hAnsi="Calibri" w:cs="Calibri"/>
          <w:noProof/>
        </w:rPr>
        <w:drawing>
          <wp:inline distT="0" distB="0" distL="0" distR="0" wp14:anchorId="25CBB40B" wp14:editId="78B9E070">
            <wp:extent cx="5731510" cy="930910"/>
            <wp:effectExtent l="0" t="0" r="0" b="0"/>
            <wp:docPr id="31469750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4697506" name=""/>
                    <pic:cNvPicPr/>
                  </pic:nvPicPr>
                  <pic:blipFill>
                    <a:blip r:embed="rId23"/>
                    <a:stretch>
                      <a:fillRect/>
                    </a:stretch>
                  </pic:blipFill>
                  <pic:spPr>
                    <a:xfrm>
                      <a:off x="0" y="0"/>
                      <a:ext cx="5731510" cy="930910"/>
                    </a:xfrm>
                    <a:prstGeom prst="rect">
                      <a:avLst/>
                    </a:prstGeom>
                  </pic:spPr>
                </pic:pic>
              </a:graphicData>
            </a:graphic>
          </wp:inline>
        </w:drawing>
      </w:r>
    </w:p>
    <w:p w14:paraId="1BEB95A3" w14:textId="3F8AE2DC" w:rsidR="00A74BD5" w:rsidRPr="00616282" w:rsidRDefault="00A74BD5" w:rsidP="00A74BD5">
      <w:pPr>
        <w:jc w:val="both"/>
        <w:rPr>
          <w:rFonts w:ascii="Calibri" w:hAnsi="Calibri" w:cs="Calibri"/>
          <w:sz w:val="20"/>
          <w:szCs w:val="20"/>
          <w:lang w:val="en-GB"/>
        </w:rPr>
      </w:pPr>
      <w:r w:rsidRPr="00616282">
        <w:rPr>
          <w:rFonts w:ascii="Calibri" w:hAnsi="Calibri" w:cs="Calibri"/>
          <w:b/>
          <w:bCs/>
          <w:sz w:val="20"/>
          <w:szCs w:val="20"/>
          <w:lang w:val="en-GB"/>
        </w:rPr>
        <w:t>Source</w:t>
      </w:r>
      <w:r w:rsidRPr="00616282">
        <w:rPr>
          <w:rFonts w:ascii="Calibri" w:hAnsi="Calibri" w:cs="Calibri"/>
          <w:sz w:val="20"/>
          <w:szCs w:val="20"/>
          <w:lang w:val="en-GB"/>
        </w:rPr>
        <w:t xml:space="preserve">: </w:t>
      </w:r>
      <w:r w:rsidR="00C807D2">
        <w:rPr>
          <w:rFonts w:ascii="Calibri" w:hAnsi="Calibri" w:cs="Calibri"/>
          <w:sz w:val="20"/>
          <w:szCs w:val="20"/>
          <w:lang w:val="en-GB"/>
        </w:rPr>
        <w:t>Adapted from the European Banking Authority. 2022. Final report draft Implementing Technical Standards (ITS) on prudential disclosures on ESG.</w:t>
      </w:r>
    </w:p>
    <w:p w14:paraId="03EFD772" w14:textId="77777777" w:rsidR="00FA5425" w:rsidRPr="00616282" w:rsidRDefault="00FA5425" w:rsidP="00616282">
      <w:pPr>
        <w:rPr>
          <w:rFonts w:ascii="Calibri" w:hAnsi="Calibri" w:cs="Calibri"/>
          <w:lang w:val="en-GB"/>
        </w:rPr>
      </w:pPr>
    </w:p>
    <w:p w14:paraId="5DF945B7" w14:textId="77777777" w:rsidR="00157082" w:rsidRDefault="00157082">
      <w:pPr>
        <w:rPr>
          <w:rFonts w:ascii="Calibri" w:eastAsiaTheme="majorEastAsia" w:hAnsi="Calibri" w:cs="Calibri"/>
          <w:color w:val="1F3763" w:themeColor="accent1" w:themeShade="7F"/>
          <w:szCs w:val="28"/>
          <w:lang w:val="en-GB"/>
        </w:rPr>
      </w:pPr>
      <w:bookmarkStart w:id="54" w:name="_Toc167079296"/>
      <w:bookmarkStart w:id="55" w:name="_Toc167079486"/>
      <w:bookmarkStart w:id="56" w:name="_Toc171908186"/>
      <w:r>
        <w:rPr>
          <w:rFonts w:ascii="Calibri" w:hAnsi="Calibri" w:cs="Calibri"/>
          <w:szCs w:val="28"/>
          <w:lang w:val="en-GB"/>
        </w:rPr>
        <w:br w:type="page"/>
      </w:r>
    </w:p>
    <w:p w14:paraId="38F55588" w14:textId="7E354DDE" w:rsidR="001015AB" w:rsidRPr="00616282" w:rsidRDefault="008244BE" w:rsidP="00B720D9">
      <w:pPr>
        <w:pStyle w:val="Heading3"/>
        <w:rPr>
          <w:rFonts w:ascii="Calibri" w:hAnsi="Calibri" w:cs="Calibri"/>
          <w:sz w:val="24"/>
          <w:szCs w:val="28"/>
          <w:lang w:val="en-GB"/>
        </w:rPr>
      </w:pPr>
      <w:r w:rsidRPr="00616282">
        <w:rPr>
          <w:rFonts w:ascii="Calibri" w:hAnsi="Calibri" w:cs="Calibri"/>
          <w:sz w:val="24"/>
          <w:szCs w:val="28"/>
          <w:lang w:val="en-GB"/>
        </w:rPr>
        <w:lastRenderedPageBreak/>
        <w:t xml:space="preserve">Best practice </w:t>
      </w:r>
      <w:r w:rsidR="00E87C8D" w:rsidRPr="00616282">
        <w:rPr>
          <w:rFonts w:ascii="Calibri" w:hAnsi="Calibri" w:cs="Calibri"/>
          <w:sz w:val="24"/>
          <w:szCs w:val="28"/>
          <w:lang w:val="en-GB"/>
        </w:rPr>
        <w:t>on strategy</w:t>
      </w:r>
      <w:bookmarkEnd w:id="54"/>
      <w:bookmarkEnd w:id="55"/>
      <w:bookmarkEnd w:id="56"/>
    </w:p>
    <w:p w14:paraId="4AA463AB" w14:textId="77777777" w:rsidR="00B44809" w:rsidRPr="00616282" w:rsidRDefault="00B44809" w:rsidP="003D7AF8">
      <w:pPr>
        <w:rPr>
          <w:rFonts w:ascii="Calibri" w:hAnsi="Calibri" w:cs="Calibri"/>
          <w:lang w:val="en-GB"/>
        </w:rPr>
      </w:pPr>
    </w:p>
    <w:p w14:paraId="291E9DE2" w14:textId="4E2DEFF5" w:rsidR="00B44809" w:rsidRPr="00616282" w:rsidRDefault="00B44809" w:rsidP="00B44809">
      <w:pPr>
        <w:jc w:val="both"/>
        <w:rPr>
          <w:rFonts w:ascii="Calibri" w:hAnsi="Calibri" w:cs="Calibri"/>
        </w:rPr>
      </w:pPr>
      <w:r w:rsidRPr="00616282">
        <w:rPr>
          <w:rFonts w:ascii="Calibri" w:hAnsi="Calibri" w:cs="Calibri"/>
        </w:rPr>
        <w:t xml:space="preserve">The following graph illustrates a series of steps that banks should undertake to effectively integrate climate risk and opportunities into the business strategy. Integration of climate risks into the business strategy depends on the material risks drivers identified, as well as the </w:t>
      </w:r>
      <w:r w:rsidR="00F31FB2">
        <w:rPr>
          <w:rFonts w:ascii="Calibri" w:hAnsi="Calibri" w:cs="Calibri"/>
        </w:rPr>
        <w:t xml:space="preserve">bank’s </w:t>
      </w:r>
      <w:r w:rsidRPr="00616282">
        <w:rPr>
          <w:rFonts w:ascii="Calibri" w:hAnsi="Calibri" w:cs="Calibri"/>
        </w:rPr>
        <w:t>capacities assembling transition plan, products and services, as a combination of strategic approaches and steering tools to translate their exposure</w:t>
      </w:r>
      <w:r w:rsidR="00490C39" w:rsidRPr="00616282">
        <w:rPr>
          <w:rFonts w:ascii="Calibri" w:hAnsi="Calibri" w:cs="Calibri"/>
        </w:rPr>
        <w:t>s</w:t>
      </w:r>
      <w:r w:rsidRPr="00616282">
        <w:rPr>
          <w:rFonts w:ascii="Calibri" w:hAnsi="Calibri" w:cs="Calibri"/>
        </w:rPr>
        <w:t xml:space="preserve"> </w:t>
      </w:r>
      <w:r w:rsidR="00490C39" w:rsidRPr="00616282">
        <w:rPr>
          <w:rFonts w:ascii="Calibri" w:hAnsi="Calibri" w:cs="Calibri"/>
        </w:rPr>
        <w:t>against</w:t>
      </w:r>
      <w:r w:rsidRPr="00616282">
        <w:rPr>
          <w:rFonts w:ascii="Calibri" w:hAnsi="Calibri" w:cs="Calibri"/>
        </w:rPr>
        <w:t xml:space="preserve"> transition and physical risks</w:t>
      </w:r>
      <w:r w:rsidR="00490C39" w:rsidRPr="00616282">
        <w:rPr>
          <w:rFonts w:ascii="Calibri" w:hAnsi="Calibri" w:cs="Calibri"/>
        </w:rPr>
        <w:t xml:space="preserve"> into growth opportunities</w:t>
      </w:r>
      <w:r w:rsidRPr="00616282">
        <w:rPr>
          <w:rFonts w:ascii="Calibri" w:hAnsi="Calibri" w:cs="Calibri"/>
        </w:rPr>
        <w:t xml:space="preserve">. </w:t>
      </w:r>
    </w:p>
    <w:p w14:paraId="169BB70E" w14:textId="77777777" w:rsidR="00B44809" w:rsidRPr="00616282" w:rsidRDefault="00B44809" w:rsidP="00B44809">
      <w:pPr>
        <w:jc w:val="both"/>
        <w:rPr>
          <w:rFonts w:ascii="Calibri" w:hAnsi="Calibri" w:cs="Calibri"/>
          <w:i/>
          <w:iCs/>
          <w:lang w:val="en-GB"/>
        </w:rPr>
      </w:pPr>
    </w:p>
    <w:p w14:paraId="6ECA574B" w14:textId="031245D6" w:rsidR="00B44809" w:rsidRDefault="00B44809" w:rsidP="00616282">
      <w:pPr>
        <w:rPr>
          <w:rFonts w:ascii="Calibri" w:hAnsi="Calibri" w:cs="Calibri"/>
          <w:b/>
          <w:bCs/>
          <w:color w:val="ED7D31" w:themeColor="accent2"/>
          <w:lang w:val="en-GB"/>
        </w:rPr>
      </w:pPr>
      <w:bookmarkStart w:id="57" w:name="_Toc175223819"/>
      <w:r w:rsidRPr="00616282">
        <w:rPr>
          <w:rFonts w:ascii="Calibri" w:hAnsi="Calibri" w:cs="Calibri"/>
          <w:b/>
          <w:bCs/>
          <w:color w:val="ED7D31" w:themeColor="accent2"/>
          <w:lang w:val="en-GB"/>
        </w:rPr>
        <w:t xml:space="preserve">Figure </w:t>
      </w:r>
      <w:r w:rsidR="00446278" w:rsidRPr="00616282">
        <w:rPr>
          <w:rFonts w:ascii="Calibri" w:hAnsi="Calibri" w:cs="Calibri"/>
          <w:b/>
          <w:bCs/>
          <w:color w:val="ED7D31" w:themeColor="accent2"/>
          <w:lang w:val="en-GB"/>
        </w:rPr>
        <w:fldChar w:fldCharType="begin"/>
      </w:r>
      <w:r w:rsidR="00446278" w:rsidRPr="00616282">
        <w:rPr>
          <w:rFonts w:ascii="Calibri" w:hAnsi="Calibri" w:cs="Calibri"/>
          <w:b/>
          <w:bCs/>
          <w:color w:val="ED7D31" w:themeColor="accent2"/>
          <w:lang w:val="en-GB"/>
        </w:rPr>
        <w:instrText xml:space="preserve"> SEQ Figure \* ARABIC </w:instrText>
      </w:r>
      <w:r w:rsidR="00446278" w:rsidRPr="00616282">
        <w:rPr>
          <w:rFonts w:ascii="Calibri" w:hAnsi="Calibri" w:cs="Calibri"/>
          <w:b/>
          <w:bCs/>
          <w:color w:val="ED7D31" w:themeColor="accent2"/>
          <w:lang w:val="en-GB"/>
        </w:rPr>
        <w:fldChar w:fldCharType="separate"/>
      </w:r>
      <w:r w:rsidR="0096670A">
        <w:rPr>
          <w:rFonts w:ascii="Calibri" w:hAnsi="Calibri" w:cs="Calibri"/>
          <w:b/>
          <w:bCs/>
          <w:noProof/>
          <w:color w:val="ED7D31" w:themeColor="accent2"/>
          <w:lang w:val="en-GB"/>
        </w:rPr>
        <w:t>4</w:t>
      </w:r>
      <w:r w:rsidR="00446278" w:rsidRPr="00616282">
        <w:rPr>
          <w:rFonts w:ascii="Calibri" w:hAnsi="Calibri" w:cs="Calibri"/>
          <w:b/>
          <w:bCs/>
          <w:color w:val="ED7D31" w:themeColor="accent2"/>
          <w:lang w:val="en-GB"/>
        </w:rPr>
        <w:fldChar w:fldCharType="end"/>
      </w:r>
      <w:r w:rsidRPr="00616282">
        <w:rPr>
          <w:rFonts w:ascii="Calibri" w:hAnsi="Calibri" w:cs="Calibri"/>
          <w:b/>
          <w:bCs/>
          <w:color w:val="ED7D31" w:themeColor="accent2"/>
          <w:lang w:val="en-GB"/>
        </w:rPr>
        <w:t xml:space="preserve"> Good practices for integrating climate risk into the business strategy</w:t>
      </w:r>
      <w:bookmarkEnd w:id="57"/>
    </w:p>
    <w:p w14:paraId="27AD7179" w14:textId="77777777" w:rsidR="00157082" w:rsidRPr="00616282" w:rsidRDefault="00157082" w:rsidP="00616282">
      <w:pPr>
        <w:rPr>
          <w:rFonts w:ascii="Calibri" w:hAnsi="Calibri" w:cs="Calibri"/>
          <w:b/>
          <w:bCs/>
          <w:color w:val="ED7D31" w:themeColor="accent2"/>
          <w:lang w:val="en-GB"/>
        </w:rPr>
      </w:pPr>
    </w:p>
    <w:p w14:paraId="6383D5D3" w14:textId="6B90F401" w:rsidR="00B44809" w:rsidRPr="00616282" w:rsidRDefault="00FA5C15" w:rsidP="00B44809">
      <w:pPr>
        <w:jc w:val="center"/>
        <w:rPr>
          <w:rFonts w:ascii="Calibri" w:hAnsi="Calibri" w:cs="Calibri"/>
        </w:rPr>
      </w:pPr>
      <w:r w:rsidRPr="00616282">
        <w:rPr>
          <w:rFonts w:ascii="Calibri" w:hAnsi="Calibri" w:cs="Calibri"/>
          <w:noProof/>
          <w14:ligatures w14:val="standardContextual"/>
        </w:rPr>
        <w:t xml:space="preserve"> </w:t>
      </w:r>
      <w:r w:rsidRPr="00616282">
        <w:rPr>
          <w:rFonts w:ascii="Calibri" w:hAnsi="Calibri" w:cs="Calibri"/>
          <w:noProof/>
        </w:rPr>
        <w:drawing>
          <wp:inline distT="0" distB="0" distL="0" distR="0" wp14:anchorId="5C888CE8" wp14:editId="1B7E4CE6">
            <wp:extent cx="4873554" cy="3511810"/>
            <wp:effectExtent l="0" t="0" r="3810" b="0"/>
            <wp:docPr id="10246688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466881" name=""/>
                    <pic:cNvPicPr/>
                  </pic:nvPicPr>
                  <pic:blipFill>
                    <a:blip r:embed="rId24"/>
                    <a:stretch>
                      <a:fillRect/>
                    </a:stretch>
                  </pic:blipFill>
                  <pic:spPr>
                    <a:xfrm>
                      <a:off x="0" y="0"/>
                      <a:ext cx="4883509" cy="3518984"/>
                    </a:xfrm>
                    <a:prstGeom prst="rect">
                      <a:avLst/>
                    </a:prstGeom>
                  </pic:spPr>
                </pic:pic>
              </a:graphicData>
            </a:graphic>
          </wp:inline>
        </w:drawing>
      </w:r>
    </w:p>
    <w:p w14:paraId="53AEE9FA" w14:textId="7D31A50D" w:rsidR="00B44809" w:rsidRPr="00616282" w:rsidRDefault="00A74BD5" w:rsidP="00B44809">
      <w:pPr>
        <w:jc w:val="both"/>
        <w:rPr>
          <w:rFonts w:ascii="Calibri" w:hAnsi="Calibri" w:cs="Calibri"/>
        </w:rPr>
      </w:pPr>
      <w:r w:rsidRPr="00616282">
        <w:rPr>
          <w:rFonts w:ascii="Calibri" w:hAnsi="Calibri" w:cs="Calibri"/>
          <w:b/>
          <w:bCs/>
        </w:rPr>
        <w:t>Source</w:t>
      </w:r>
      <w:r w:rsidRPr="00616282">
        <w:rPr>
          <w:rFonts w:ascii="Calibri" w:hAnsi="Calibri" w:cs="Calibri"/>
        </w:rPr>
        <w:t>: GFANZ, 2023</w:t>
      </w:r>
    </w:p>
    <w:p w14:paraId="09941439" w14:textId="77777777" w:rsidR="00A74BD5" w:rsidRPr="00616282" w:rsidRDefault="00A74BD5" w:rsidP="00B44809">
      <w:pPr>
        <w:jc w:val="both"/>
        <w:rPr>
          <w:rFonts w:ascii="Calibri" w:hAnsi="Calibri" w:cs="Calibri"/>
        </w:rPr>
      </w:pPr>
    </w:p>
    <w:p w14:paraId="5984DA6A" w14:textId="73D5C9DB" w:rsidR="003D7AF8" w:rsidRPr="00616282" w:rsidRDefault="00F07E6A" w:rsidP="00616282">
      <w:pPr>
        <w:jc w:val="both"/>
        <w:rPr>
          <w:rFonts w:ascii="Calibri" w:hAnsi="Calibri" w:cs="Calibri"/>
          <w:lang w:val="en-GB"/>
        </w:rPr>
      </w:pPr>
      <w:r w:rsidRPr="00616282">
        <w:rPr>
          <w:rFonts w:ascii="Calibri" w:hAnsi="Calibri" w:cs="Calibri"/>
          <w:lang w:val="en-GB"/>
        </w:rPr>
        <w:t xml:space="preserve">Banks should start </w:t>
      </w:r>
      <w:r w:rsidR="00F31FB2">
        <w:rPr>
          <w:rFonts w:ascii="Calibri" w:hAnsi="Calibri" w:cs="Calibri"/>
          <w:lang w:val="en-GB"/>
        </w:rPr>
        <w:t>by</w:t>
      </w:r>
      <w:r w:rsidR="00F31FB2" w:rsidRPr="00616282">
        <w:rPr>
          <w:rFonts w:ascii="Calibri" w:hAnsi="Calibri" w:cs="Calibri"/>
          <w:lang w:val="en-GB"/>
        </w:rPr>
        <w:t xml:space="preserve"> </w:t>
      </w:r>
      <w:r w:rsidR="006A79AD" w:rsidRPr="00616282">
        <w:rPr>
          <w:rFonts w:ascii="Calibri" w:hAnsi="Calibri" w:cs="Calibri"/>
          <w:lang w:val="en-GB"/>
        </w:rPr>
        <w:t>identify</w:t>
      </w:r>
      <w:r w:rsidRPr="00616282">
        <w:rPr>
          <w:rFonts w:ascii="Calibri" w:hAnsi="Calibri" w:cs="Calibri"/>
          <w:lang w:val="en-GB"/>
        </w:rPr>
        <w:t>ing</w:t>
      </w:r>
      <w:r w:rsidR="006A79AD" w:rsidRPr="00616282">
        <w:rPr>
          <w:rFonts w:ascii="Calibri" w:hAnsi="Calibri" w:cs="Calibri"/>
          <w:lang w:val="en-GB"/>
        </w:rPr>
        <w:t xml:space="preserve"> physical and transition </w:t>
      </w:r>
      <w:r w:rsidR="004E1A87" w:rsidRPr="00616282">
        <w:rPr>
          <w:rFonts w:ascii="Calibri" w:hAnsi="Calibri" w:cs="Calibri"/>
          <w:lang w:val="en-GB"/>
        </w:rPr>
        <w:t>climate</w:t>
      </w:r>
      <w:r w:rsidR="006A79AD" w:rsidRPr="00616282">
        <w:rPr>
          <w:rFonts w:ascii="Calibri" w:hAnsi="Calibri" w:cs="Calibri"/>
          <w:lang w:val="en-GB"/>
        </w:rPr>
        <w:t xml:space="preserve"> risks</w:t>
      </w:r>
      <w:r w:rsidR="004E1A87" w:rsidRPr="00616282">
        <w:rPr>
          <w:rFonts w:ascii="Calibri" w:hAnsi="Calibri" w:cs="Calibri"/>
          <w:lang w:val="en-GB"/>
        </w:rPr>
        <w:t xml:space="preserve">, </w:t>
      </w:r>
      <w:r w:rsidRPr="00616282">
        <w:rPr>
          <w:rFonts w:ascii="Calibri" w:hAnsi="Calibri" w:cs="Calibri"/>
          <w:lang w:val="en-GB"/>
        </w:rPr>
        <w:t>overlay</w:t>
      </w:r>
      <w:r w:rsidR="00F31FB2">
        <w:rPr>
          <w:rFonts w:ascii="Calibri" w:hAnsi="Calibri" w:cs="Calibri"/>
          <w:lang w:val="en-GB"/>
        </w:rPr>
        <w:t>ing</w:t>
      </w:r>
      <w:r w:rsidRPr="00616282">
        <w:rPr>
          <w:rFonts w:ascii="Calibri" w:hAnsi="Calibri" w:cs="Calibri"/>
          <w:lang w:val="en-GB"/>
        </w:rPr>
        <w:t xml:space="preserve"> them against the</w:t>
      </w:r>
      <w:r w:rsidR="004E1A87" w:rsidRPr="00616282">
        <w:rPr>
          <w:rFonts w:ascii="Calibri" w:hAnsi="Calibri" w:cs="Calibri"/>
          <w:lang w:val="en-GB"/>
        </w:rPr>
        <w:t xml:space="preserve"> traditional enterprise risk framework</w:t>
      </w:r>
      <w:r w:rsidR="00F31FB2">
        <w:rPr>
          <w:rFonts w:ascii="Calibri" w:hAnsi="Calibri" w:cs="Calibri"/>
          <w:lang w:val="en-GB"/>
        </w:rPr>
        <w:t>,</w:t>
      </w:r>
      <w:r w:rsidR="004E1A87" w:rsidRPr="00616282">
        <w:rPr>
          <w:rFonts w:ascii="Calibri" w:hAnsi="Calibri" w:cs="Calibri"/>
          <w:lang w:val="en-GB"/>
        </w:rPr>
        <w:t xml:space="preserve"> and </w:t>
      </w:r>
      <w:r w:rsidRPr="00616282">
        <w:rPr>
          <w:rFonts w:ascii="Calibri" w:hAnsi="Calibri" w:cs="Calibri"/>
          <w:lang w:val="en-GB"/>
        </w:rPr>
        <w:t>assess</w:t>
      </w:r>
      <w:r w:rsidR="00F31FB2">
        <w:rPr>
          <w:rFonts w:ascii="Calibri" w:hAnsi="Calibri" w:cs="Calibri"/>
          <w:lang w:val="en-GB"/>
        </w:rPr>
        <w:t>ing</w:t>
      </w:r>
      <w:r w:rsidRPr="00616282">
        <w:rPr>
          <w:rFonts w:ascii="Calibri" w:hAnsi="Calibri" w:cs="Calibri"/>
          <w:lang w:val="en-GB"/>
        </w:rPr>
        <w:t xml:space="preserve"> </w:t>
      </w:r>
      <w:r w:rsidR="004E1A87" w:rsidRPr="00616282">
        <w:rPr>
          <w:rFonts w:ascii="Calibri" w:hAnsi="Calibri" w:cs="Calibri"/>
          <w:lang w:val="en-GB"/>
        </w:rPr>
        <w:t>how they can create opportunities</w:t>
      </w:r>
      <w:r w:rsidR="004F4139" w:rsidRPr="00616282">
        <w:rPr>
          <w:rFonts w:ascii="Calibri" w:hAnsi="Calibri" w:cs="Calibri"/>
          <w:lang w:val="en-GB"/>
        </w:rPr>
        <w:t>.</w:t>
      </w:r>
    </w:p>
    <w:p w14:paraId="5DDAFCD9" w14:textId="77777777" w:rsidR="00802B44" w:rsidRPr="00616282" w:rsidRDefault="00802B44" w:rsidP="003D7AF8">
      <w:pPr>
        <w:rPr>
          <w:rFonts w:ascii="Calibri" w:hAnsi="Calibri" w:cs="Calibri"/>
          <w:lang w:val="en-GB"/>
        </w:rPr>
      </w:pPr>
    </w:p>
    <w:p w14:paraId="7B12B84D" w14:textId="77777777" w:rsidR="00157082" w:rsidRDefault="00157082">
      <w:pPr>
        <w:rPr>
          <w:rFonts w:ascii="Calibri" w:hAnsi="Calibri" w:cs="Calibri"/>
          <w:b/>
          <w:bCs/>
          <w:color w:val="ED7D31" w:themeColor="accent2"/>
          <w:lang w:val="en-GB"/>
        </w:rPr>
      </w:pPr>
      <w:bookmarkStart w:id="58" w:name="_Toc171908206"/>
      <w:r>
        <w:rPr>
          <w:rFonts w:ascii="Calibri" w:hAnsi="Calibri" w:cs="Calibri"/>
          <w:b/>
          <w:bCs/>
          <w:color w:val="ED7D31" w:themeColor="accent2"/>
          <w:lang w:val="en-GB"/>
        </w:rPr>
        <w:br w:type="page"/>
      </w:r>
    </w:p>
    <w:p w14:paraId="49515532" w14:textId="6A12EA5D" w:rsidR="003D7AF8" w:rsidRPr="00616282" w:rsidRDefault="003D7AF8" w:rsidP="00616282">
      <w:pPr>
        <w:rPr>
          <w:rFonts w:ascii="Calibri" w:hAnsi="Calibri" w:cs="Calibri"/>
          <w:b/>
          <w:bCs/>
          <w:color w:val="ED7D31" w:themeColor="accent2"/>
          <w:lang w:val="en-GB"/>
        </w:rPr>
      </w:pPr>
      <w:r w:rsidRPr="00616282">
        <w:rPr>
          <w:rFonts w:ascii="Calibri" w:hAnsi="Calibri" w:cs="Calibri"/>
          <w:b/>
          <w:bCs/>
          <w:color w:val="ED7D31" w:themeColor="accent2"/>
          <w:lang w:val="en-GB"/>
        </w:rPr>
        <w:lastRenderedPageBreak/>
        <w:t xml:space="preserve">Table </w:t>
      </w:r>
      <w:r w:rsidRPr="00616282">
        <w:rPr>
          <w:rFonts w:ascii="Calibri" w:hAnsi="Calibri" w:cs="Calibri"/>
          <w:b/>
          <w:bCs/>
          <w:color w:val="ED7D31" w:themeColor="accent2"/>
          <w:lang w:val="en-GB"/>
        </w:rPr>
        <w:fldChar w:fldCharType="begin"/>
      </w:r>
      <w:r w:rsidRPr="00616282">
        <w:rPr>
          <w:rFonts w:ascii="Calibri" w:hAnsi="Calibri" w:cs="Calibri"/>
          <w:b/>
          <w:bCs/>
          <w:color w:val="ED7D31" w:themeColor="accent2"/>
          <w:lang w:val="en-GB"/>
        </w:rPr>
        <w:instrText xml:space="preserve"> SEQ Table \* ARABIC </w:instrText>
      </w:r>
      <w:r w:rsidRPr="00616282">
        <w:rPr>
          <w:rFonts w:ascii="Calibri" w:hAnsi="Calibri" w:cs="Calibri"/>
          <w:b/>
          <w:bCs/>
          <w:color w:val="ED7D31" w:themeColor="accent2"/>
          <w:lang w:val="en-GB"/>
        </w:rPr>
        <w:fldChar w:fldCharType="separate"/>
      </w:r>
      <w:r w:rsidR="0096670A">
        <w:rPr>
          <w:rFonts w:ascii="Calibri" w:hAnsi="Calibri" w:cs="Calibri"/>
          <w:b/>
          <w:bCs/>
          <w:noProof/>
          <w:color w:val="ED7D31" w:themeColor="accent2"/>
          <w:lang w:val="en-GB"/>
        </w:rPr>
        <w:t>12</w:t>
      </w:r>
      <w:r w:rsidRPr="00616282">
        <w:rPr>
          <w:rFonts w:ascii="Calibri" w:hAnsi="Calibri" w:cs="Calibri"/>
          <w:b/>
          <w:bCs/>
          <w:color w:val="ED7D31" w:themeColor="accent2"/>
          <w:lang w:val="en-GB"/>
        </w:rPr>
        <w:fldChar w:fldCharType="end"/>
      </w:r>
      <w:r w:rsidRPr="00616282">
        <w:rPr>
          <w:rFonts w:ascii="Calibri" w:hAnsi="Calibri" w:cs="Calibri"/>
          <w:b/>
          <w:bCs/>
          <w:color w:val="ED7D31" w:themeColor="accent2"/>
          <w:lang w:val="en-GB"/>
        </w:rPr>
        <w:t xml:space="preserve">. </w:t>
      </w:r>
      <w:r w:rsidR="004F4139" w:rsidRPr="00616282">
        <w:rPr>
          <w:rFonts w:ascii="Calibri" w:hAnsi="Calibri" w:cs="Calibri"/>
          <w:b/>
          <w:bCs/>
          <w:color w:val="ED7D31" w:themeColor="accent2"/>
          <w:lang w:val="en-GB"/>
        </w:rPr>
        <w:t>Example of climate-driven financial risks and opportunities</w:t>
      </w:r>
      <w:bookmarkEnd w:id="58"/>
    </w:p>
    <w:p w14:paraId="3D715578" w14:textId="2DA3CE89" w:rsidR="003D7AF8" w:rsidRPr="00616282" w:rsidRDefault="00FA5C15" w:rsidP="0090701E">
      <w:pPr>
        <w:jc w:val="center"/>
        <w:rPr>
          <w:rFonts w:ascii="Calibri" w:hAnsi="Calibri" w:cs="Calibri"/>
          <w:lang w:val="en-GB"/>
        </w:rPr>
      </w:pPr>
      <w:r w:rsidRPr="00616282">
        <w:rPr>
          <w:rFonts w:ascii="Calibri" w:hAnsi="Calibri" w:cs="Calibri"/>
          <w:noProof/>
        </w:rPr>
        <w:drawing>
          <wp:inline distT="0" distB="0" distL="0" distR="0" wp14:anchorId="490BCA5F" wp14:editId="5A05DAB2">
            <wp:extent cx="5140574" cy="3476978"/>
            <wp:effectExtent l="0" t="0" r="3175" b="3175"/>
            <wp:docPr id="1270898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089834" name=""/>
                    <pic:cNvPicPr/>
                  </pic:nvPicPr>
                  <pic:blipFill>
                    <a:blip r:embed="rId25"/>
                    <a:stretch>
                      <a:fillRect/>
                    </a:stretch>
                  </pic:blipFill>
                  <pic:spPr>
                    <a:xfrm>
                      <a:off x="0" y="0"/>
                      <a:ext cx="5152146" cy="3484805"/>
                    </a:xfrm>
                    <a:prstGeom prst="rect">
                      <a:avLst/>
                    </a:prstGeom>
                  </pic:spPr>
                </pic:pic>
              </a:graphicData>
            </a:graphic>
          </wp:inline>
        </w:drawing>
      </w:r>
    </w:p>
    <w:p w14:paraId="2DB4DB21" w14:textId="28721E69" w:rsidR="00F07E6A" w:rsidRPr="00616282" w:rsidRDefault="00F07E6A" w:rsidP="0046333A">
      <w:pPr>
        <w:jc w:val="center"/>
        <w:rPr>
          <w:rFonts w:ascii="Calibri" w:hAnsi="Calibri" w:cs="Calibri"/>
          <w:sz w:val="20"/>
          <w:szCs w:val="20"/>
        </w:rPr>
      </w:pPr>
      <w:r w:rsidRPr="00616282">
        <w:rPr>
          <w:rFonts w:ascii="Calibri" w:hAnsi="Calibri" w:cs="Calibri"/>
          <w:b/>
          <w:bCs/>
          <w:sz w:val="20"/>
          <w:szCs w:val="20"/>
        </w:rPr>
        <w:t>Source</w:t>
      </w:r>
      <w:r w:rsidRPr="00616282">
        <w:rPr>
          <w:rFonts w:ascii="Calibri" w:hAnsi="Calibri" w:cs="Calibri"/>
          <w:sz w:val="20"/>
          <w:szCs w:val="20"/>
        </w:rPr>
        <w:t xml:space="preserve">: </w:t>
      </w:r>
      <w:r w:rsidR="00B7558A" w:rsidRPr="00B7558A">
        <w:rPr>
          <w:rFonts w:ascii="Calibri" w:hAnsi="Calibri" w:cs="Calibri"/>
          <w:sz w:val="20"/>
          <w:szCs w:val="20"/>
        </w:rPr>
        <w:t>Network for Greening the Financial System (</w:t>
      </w:r>
      <w:r w:rsidR="004F4139" w:rsidRPr="00616282">
        <w:rPr>
          <w:rFonts w:ascii="Calibri" w:hAnsi="Calibri" w:cs="Calibri"/>
          <w:sz w:val="20"/>
          <w:szCs w:val="20"/>
        </w:rPr>
        <w:t>NGFS</w:t>
      </w:r>
      <w:r w:rsidR="00B7558A">
        <w:rPr>
          <w:rFonts w:ascii="Calibri" w:hAnsi="Calibri" w:cs="Calibri"/>
          <w:sz w:val="20"/>
          <w:szCs w:val="20"/>
        </w:rPr>
        <w:t>)</w:t>
      </w:r>
      <w:r w:rsidR="004F4139" w:rsidRPr="00616282">
        <w:rPr>
          <w:rFonts w:ascii="Calibri" w:hAnsi="Calibri" w:cs="Calibri"/>
          <w:sz w:val="20"/>
          <w:szCs w:val="20"/>
        </w:rPr>
        <w:t xml:space="preserve"> (2020) Overview of Environmental Risk Analysis by FIs</w:t>
      </w:r>
      <w:r w:rsidR="00CB4FD6">
        <w:rPr>
          <w:rFonts w:ascii="Calibri" w:hAnsi="Calibri" w:cs="Calibri"/>
          <w:sz w:val="20"/>
          <w:szCs w:val="20"/>
        </w:rPr>
        <w:t>.</w:t>
      </w:r>
    </w:p>
    <w:p w14:paraId="5F632CF2" w14:textId="77777777" w:rsidR="004F4139" w:rsidRPr="00616282" w:rsidRDefault="004F4139" w:rsidP="0046333A">
      <w:pPr>
        <w:jc w:val="center"/>
        <w:rPr>
          <w:rFonts w:ascii="Calibri" w:hAnsi="Calibri" w:cs="Calibri"/>
        </w:rPr>
      </w:pPr>
    </w:p>
    <w:p w14:paraId="4A26EAEA" w14:textId="02BC5A91" w:rsidR="00D11522" w:rsidRPr="00616282" w:rsidRDefault="00FE1403" w:rsidP="00616282">
      <w:pPr>
        <w:jc w:val="both"/>
        <w:rPr>
          <w:rFonts w:ascii="Calibri" w:hAnsi="Calibri" w:cs="Calibri"/>
          <w:lang w:val="en-GB"/>
        </w:rPr>
      </w:pPr>
      <w:r w:rsidRPr="00616282">
        <w:rPr>
          <w:rFonts w:ascii="Calibri" w:hAnsi="Calibri" w:cs="Calibri"/>
          <w:lang w:val="en-GB"/>
        </w:rPr>
        <w:t xml:space="preserve">To effectively embed climate risks and opportunities into the business strategy, banks </w:t>
      </w:r>
      <w:r w:rsidR="00287E22" w:rsidRPr="00616282">
        <w:rPr>
          <w:rFonts w:ascii="Calibri" w:hAnsi="Calibri" w:cs="Calibri"/>
          <w:lang w:val="en-GB"/>
        </w:rPr>
        <w:t>should</w:t>
      </w:r>
      <w:r w:rsidRPr="00616282">
        <w:rPr>
          <w:rFonts w:ascii="Calibri" w:hAnsi="Calibri" w:cs="Calibri"/>
          <w:lang w:val="en-GB"/>
        </w:rPr>
        <w:t xml:space="preserve"> </w:t>
      </w:r>
      <w:r w:rsidRPr="00616282">
        <w:rPr>
          <w:rFonts w:ascii="Calibri" w:hAnsi="Calibri" w:cs="Calibri"/>
          <w:b/>
          <w:bCs/>
          <w:color w:val="4472C4" w:themeColor="accent1"/>
          <w:lang w:val="en-GB"/>
        </w:rPr>
        <w:t xml:space="preserve">begin with </w:t>
      </w:r>
      <w:r w:rsidR="00E737E2" w:rsidRPr="00616282">
        <w:rPr>
          <w:rFonts w:ascii="Calibri" w:hAnsi="Calibri" w:cs="Calibri"/>
          <w:b/>
          <w:bCs/>
          <w:color w:val="4472C4" w:themeColor="accent1"/>
          <w:lang w:val="en-GB"/>
        </w:rPr>
        <w:t xml:space="preserve">a </w:t>
      </w:r>
      <w:r w:rsidRPr="00616282">
        <w:rPr>
          <w:rFonts w:ascii="Calibri" w:hAnsi="Calibri" w:cs="Calibri"/>
          <w:b/>
          <w:bCs/>
          <w:color w:val="4472C4" w:themeColor="accent1"/>
          <w:lang w:val="en-GB"/>
        </w:rPr>
        <w:t>thorough climate risk materiality assessment to identify primary climate risk drivers</w:t>
      </w:r>
      <w:r w:rsidRPr="00616282">
        <w:rPr>
          <w:rFonts w:ascii="Calibri" w:hAnsi="Calibri" w:cs="Calibri"/>
          <w:color w:val="4472C4" w:themeColor="accent1"/>
          <w:lang w:val="en-GB"/>
        </w:rPr>
        <w:t xml:space="preserve"> </w:t>
      </w:r>
      <w:r w:rsidRPr="00616282">
        <w:rPr>
          <w:rFonts w:ascii="Calibri" w:hAnsi="Calibri" w:cs="Calibri"/>
          <w:lang w:val="en-GB"/>
        </w:rPr>
        <w:t>affecting their operations and to assess</w:t>
      </w:r>
      <w:r w:rsidR="00CA60BB" w:rsidRPr="00616282">
        <w:rPr>
          <w:rFonts w:ascii="Calibri" w:hAnsi="Calibri" w:cs="Calibri"/>
          <w:lang w:val="en-GB"/>
        </w:rPr>
        <w:t xml:space="preserve"> </w:t>
      </w:r>
      <w:r w:rsidRPr="00616282">
        <w:rPr>
          <w:rFonts w:ascii="Calibri" w:hAnsi="Calibri" w:cs="Calibri"/>
          <w:lang w:val="en-GB"/>
        </w:rPr>
        <w:t>exposure to them</w:t>
      </w:r>
      <w:r w:rsidR="00CB7548" w:rsidRPr="00616282">
        <w:rPr>
          <w:rFonts w:ascii="Calibri" w:hAnsi="Calibri" w:cs="Calibri"/>
          <w:lang w:val="en-GB"/>
        </w:rPr>
        <w:t xml:space="preserve">. </w:t>
      </w:r>
      <w:r w:rsidR="0064716C" w:rsidRPr="00616282">
        <w:rPr>
          <w:rFonts w:ascii="Calibri" w:hAnsi="Calibri" w:cs="Calibri"/>
          <w:lang w:val="en-GB"/>
        </w:rPr>
        <w:t xml:space="preserve">The following heatmap examples provide a </w:t>
      </w:r>
      <w:r w:rsidR="00E737E2" w:rsidRPr="00616282">
        <w:rPr>
          <w:rFonts w:ascii="Calibri" w:hAnsi="Calibri" w:cs="Calibri"/>
          <w:lang w:val="en-GB"/>
        </w:rPr>
        <w:t xml:space="preserve">visual </w:t>
      </w:r>
      <w:r w:rsidR="0064716C" w:rsidRPr="00616282">
        <w:rPr>
          <w:rFonts w:ascii="Calibri" w:hAnsi="Calibri" w:cs="Calibri"/>
          <w:lang w:val="en-GB"/>
        </w:rPr>
        <w:t>summar</w:t>
      </w:r>
      <w:r w:rsidR="00E737E2" w:rsidRPr="00616282">
        <w:rPr>
          <w:rFonts w:ascii="Calibri" w:hAnsi="Calibri" w:cs="Calibri"/>
          <w:lang w:val="en-GB"/>
        </w:rPr>
        <w:t xml:space="preserve">y of </w:t>
      </w:r>
      <w:r w:rsidR="00F31FB2">
        <w:rPr>
          <w:rFonts w:ascii="Calibri" w:hAnsi="Calibri" w:cs="Calibri"/>
          <w:lang w:val="en-GB"/>
        </w:rPr>
        <w:t>these</w:t>
      </w:r>
      <w:r w:rsidR="0064716C" w:rsidRPr="00616282">
        <w:rPr>
          <w:rFonts w:ascii="Calibri" w:hAnsi="Calibri" w:cs="Calibri"/>
          <w:lang w:val="en-GB"/>
        </w:rPr>
        <w:t xml:space="preserve"> physical and transition risks, according to </w:t>
      </w:r>
      <w:r w:rsidR="00F31FB2">
        <w:rPr>
          <w:rFonts w:ascii="Calibri" w:hAnsi="Calibri" w:cs="Calibri"/>
          <w:lang w:val="en-GB"/>
        </w:rPr>
        <w:t>their</w:t>
      </w:r>
      <w:r w:rsidR="0064716C" w:rsidRPr="00616282">
        <w:rPr>
          <w:rFonts w:ascii="Calibri" w:hAnsi="Calibri" w:cs="Calibri"/>
          <w:lang w:val="en-GB"/>
        </w:rPr>
        <w:t xml:space="preserve"> materiality on the business (Figure 3 and 4).</w:t>
      </w:r>
      <w:r w:rsidR="0013088E" w:rsidRPr="00616282">
        <w:rPr>
          <w:rFonts w:ascii="Calibri" w:hAnsi="Calibri" w:cs="Calibri"/>
          <w:lang w:val="en-GB"/>
        </w:rPr>
        <w:t xml:space="preserve"> </w:t>
      </w:r>
    </w:p>
    <w:p w14:paraId="49ABE778" w14:textId="77777777" w:rsidR="00D11522" w:rsidRPr="00616282" w:rsidRDefault="00D11522" w:rsidP="00FB0DA0">
      <w:pPr>
        <w:outlineLvl w:val="0"/>
        <w:rPr>
          <w:rFonts w:ascii="Calibri" w:hAnsi="Calibri" w:cs="Calibri"/>
          <w:lang w:val="en-GB"/>
        </w:rPr>
      </w:pPr>
    </w:p>
    <w:p w14:paraId="2B7123BA" w14:textId="0EEB0F5F" w:rsidR="00CB7548" w:rsidRPr="00616282" w:rsidRDefault="00CD5136" w:rsidP="00616282">
      <w:pPr>
        <w:jc w:val="both"/>
        <w:rPr>
          <w:rFonts w:ascii="Calibri" w:hAnsi="Calibri" w:cs="Calibri"/>
          <w:lang w:val="en-GB"/>
        </w:rPr>
      </w:pPr>
      <w:bookmarkStart w:id="59" w:name="_Toc167079297"/>
      <w:r w:rsidRPr="00616282">
        <w:rPr>
          <w:rFonts w:ascii="Calibri" w:hAnsi="Calibri" w:cs="Calibri"/>
          <w:lang w:val="en-GB"/>
        </w:rPr>
        <w:t>The m</w:t>
      </w:r>
      <w:r w:rsidR="00CB7548" w:rsidRPr="00616282">
        <w:rPr>
          <w:rFonts w:ascii="Calibri" w:hAnsi="Calibri" w:cs="Calibri"/>
          <w:lang w:val="en-GB"/>
        </w:rPr>
        <w:t>ateriality assessment will support banks in prioritizing certain sectors and applying different metrics and targets to steer their portfolios towards low-carbon pathways (e.g.</w:t>
      </w:r>
      <w:r w:rsidR="00F31FB2">
        <w:rPr>
          <w:rFonts w:ascii="Calibri" w:hAnsi="Calibri" w:cs="Calibri"/>
          <w:lang w:val="en-GB"/>
        </w:rPr>
        <w:t>,</w:t>
      </w:r>
      <w:r w:rsidR="00CB7548" w:rsidRPr="00616282">
        <w:rPr>
          <w:rFonts w:ascii="Calibri" w:hAnsi="Calibri" w:cs="Calibri"/>
          <w:lang w:val="en-GB"/>
        </w:rPr>
        <w:t xml:space="preserve"> </w:t>
      </w:r>
      <w:hyperlink r:id="rId26" w:history="1">
        <w:r w:rsidR="00CB7548" w:rsidRPr="00616282">
          <w:rPr>
            <w:rStyle w:val="Hyperlink"/>
            <w:rFonts w:ascii="Calibri" w:hAnsi="Calibri" w:cs="Calibri"/>
            <w:i/>
            <w:iCs/>
            <w:lang w:val="en-GB"/>
          </w:rPr>
          <w:t>Kenya’s Long-term Low Emission Development Strategy</w:t>
        </w:r>
      </w:hyperlink>
      <w:r w:rsidR="00391F02" w:rsidRPr="00616282">
        <w:rPr>
          <w:rFonts w:ascii="Calibri" w:hAnsi="Calibri" w:cs="Calibri"/>
          <w:lang w:val="en-GB"/>
        </w:rPr>
        <w:t>, LT-LEDS</w:t>
      </w:r>
      <w:r w:rsidR="00CB7548" w:rsidRPr="00616282">
        <w:rPr>
          <w:rFonts w:ascii="Calibri" w:hAnsi="Calibri" w:cs="Calibri"/>
          <w:lang w:val="en-GB"/>
        </w:rPr>
        <w:t>).</w:t>
      </w:r>
      <w:bookmarkEnd w:id="59"/>
    </w:p>
    <w:p w14:paraId="667D65A1" w14:textId="25683523" w:rsidR="00157082" w:rsidRDefault="00157082">
      <w:pPr>
        <w:rPr>
          <w:rFonts w:ascii="Calibri" w:hAnsi="Calibri" w:cs="Calibri"/>
          <w:lang w:val="en-GB"/>
        </w:rPr>
      </w:pPr>
      <w:r>
        <w:rPr>
          <w:rFonts w:ascii="Calibri" w:hAnsi="Calibri" w:cs="Calibri"/>
          <w:lang w:val="en-GB"/>
        </w:rPr>
        <w:br w:type="page"/>
      </w:r>
    </w:p>
    <w:p w14:paraId="29CB3E22" w14:textId="77777777" w:rsidR="002F4A8A" w:rsidRPr="00616282" w:rsidRDefault="002F4A8A" w:rsidP="00FB0DA0">
      <w:pPr>
        <w:outlineLvl w:val="0"/>
        <w:rPr>
          <w:rFonts w:ascii="Calibri" w:hAnsi="Calibri" w:cs="Calibri"/>
          <w:lang w:val="en-GB"/>
        </w:rPr>
      </w:pPr>
    </w:p>
    <w:tbl>
      <w:tblPr>
        <w:tblStyle w:val="TableGrid"/>
        <w:tblpPr w:leftFromText="180" w:rightFromText="180" w:vertAnchor="text" w:horzAnchor="margin" w:tblpY="10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508"/>
        <w:gridCol w:w="4508"/>
      </w:tblGrid>
      <w:tr w:rsidR="002F4A8A" w:rsidRPr="004725EE" w14:paraId="72572BB3" w14:textId="77777777" w:rsidTr="0061766C">
        <w:tc>
          <w:tcPr>
            <w:tcW w:w="4508" w:type="dxa"/>
          </w:tcPr>
          <w:p w14:paraId="7686FEC2" w14:textId="3B7D0463" w:rsidR="002F4A8A" w:rsidRPr="00616282" w:rsidRDefault="002F4A8A" w:rsidP="00616282">
            <w:pPr>
              <w:rPr>
                <w:rFonts w:ascii="Calibri" w:hAnsi="Calibri" w:cs="Calibri"/>
                <w:b/>
                <w:bCs/>
                <w:color w:val="ED7D31" w:themeColor="accent2"/>
                <w:lang w:val="en-GB"/>
              </w:rPr>
            </w:pPr>
            <w:bookmarkStart w:id="60" w:name="_Toc175223820"/>
            <w:r w:rsidRPr="00616282">
              <w:rPr>
                <w:rFonts w:ascii="Calibri" w:hAnsi="Calibri" w:cs="Calibri"/>
                <w:b/>
                <w:bCs/>
                <w:color w:val="ED7D31" w:themeColor="accent2"/>
                <w:lang w:val="en-GB"/>
              </w:rPr>
              <w:t xml:space="preserve">Figure </w:t>
            </w:r>
            <w:r w:rsidR="00446278" w:rsidRPr="00616282">
              <w:rPr>
                <w:rFonts w:ascii="Calibri" w:hAnsi="Calibri" w:cs="Calibri"/>
                <w:b/>
                <w:bCs/>
                <w:color w:val="ED7D31" w:themeColor="accent2"/>
                <w:lang w:val="en-GB"/>
              </w:rPr>
              <w:fldChar w:fldCharType="begin"/>
            </w:r>
            <w:r w:rsidR="00446278" w:rsidRPr="00616282">
              <w:rPr>
                <w:rFonts w:ascii="Calibri" w:hAnsi="Calibri" w:cs="Calibri"/>
                <w:b/>
                <w:bCs/>
                <w:color w:val="ED7D31" w:themeColor="accent2"/>
                <w:lang w:val="en-GB"/>
              </w:rPr>
              <w:instrText xml:space="preserve"> SEQ Figure \* ARABIC </w:instrText>
            </w:r>
            <w:r w:rsidR="00446278" w:rsidRPr="00616282">
              <w:rPr>
                <w:rFonts w:ascii="Calibri" w:hAnsi="Calibri" w:cs="Calibri"/>
                <w:b/>
                <w:bCs/>
                <w:color w:val="ED7D31" w:themeColor="accent2"/>
                <w:lang w:val="en-GB"/>
              </w:rPr>
              <w:fldChar w:fldCharType="separate"/>
            </w:r>
            <w:r w:rsidR="0096670A">
              <w:rPr>
                <w:rFonts w:ascii="Calibri" w:hAnsi="Calibri" w:cs="Calibri"/>
                <w:b/>
                <w:bCs/>
                <w:noProof/>
                <w:color w:val="ED7D31" w:themeColor="accent2"/>
                <w:lang w:val="en-GB"/>
              </w:rPr>
              <w:t>5</w:t>
            </w:r>
            <w:r w:rsidR="00446278" w:rsidRPr="00616282">
              <w:rPr>
                <w:rFonts w:ascii="Calibri" w:hAnsi="Calibri" w:cs="Calibri"/>
                <w:b/>
                <w:bCs/>
                <w:color w:val="ED7D31" w:themeColor="accent2"/>
                <w:lang w:val="en-GB"/>
              </w:rPr>
              <w:fldChar w:fldCharType="end"/>
            </w:r>
            <w:r w:rsidRPr="00616282">
              <w:rPr>
                <w:rFonts w:ascii="Calibri" w:hAnsi="Calibri" w:cs="Calibri"/>
                <w:b/>
                <w:bCs/>
                <w:color w:val="ED7D31" w:themeColor="accent2"/>
                <w:lang w:val="en-GB"/>
              </w:rPr>
              <w:t xml:space="preserve">. BBVA heatmap of transition and physical risks in the short, </w:t>
            </w:r>
            <w:r w:rsidR="0014377D" w:rsidRPr="00616282">
              <w:rPr>
                <w:rFonts w:ascii="Calibri" w:hAnsi="Calibri" w:cs="Calibri"/>
                <w:b/>
                <w:bCs/>
                <w:color w:val="ED7D31" w:themeColor="accent2"/>
                <w:lang w:val="en-GB"/>
              </w:rPr>
              <w:t>medium,</w:t>
            </w:r>
            <w:r w:rsidRPr="00616282">
              <w:rPr>
                <w:rFonts w:ascii="Calibri" w:hAnsi="Calibri" w:cs="Calibri"/>
                <w:b/>
                <w:bCs/>
                <w:color w:val="ED7D31" w:themeColor="accent2"/>
                <w:lang w:val="en-GB"/>
              </w:rPr>
              <w:t xml:space="preserve"> and long term</w:t>
            </w:r>
            <w:bookmarkEnd w:id="60"/>
          </w:p>
        </w:tc>
        <w:tc>
          <w:tcPr>
            <w:tcW w:w="4508" w:type="dxa"/>
          </w:tcPr>
          <w:p w14:paraId="33E85023" w14:textId="05D246BC" w:rsidR="002F4A8A" w:rsidRPr="00616282" w:rsidRDefault="002F4A8A" w:rsidP="00616282">
            <w:pPr>
              <w:rPr>
                <w:rFonts w:ascii="Calibri" w:hAnsi="Calibri" w:cs="Calibri"/>
                <w:b/>
                <w:bCs/>
                <w:color w:val="ED7D31" w:themeColor="accent2"/>
                <w:lang w:val="en-GB"/>
              </w:rPr>
            </w:pPr>
            <w:bookmarkStart w:id="61" w:name="_Toc175223821"/>
            <w:r w:rsidRPr="00616282">
              <w:rPr>
                <w:rFonts w:ascii="Calibri" w:hAnsi="Calibri" w:cs="Calibri"/>
                <w:b/>
                <w:bCs/>
                <w:color w:val="ED7D31" w:themeColor="accent2"/>
                <w:lang w:val="en-GB"/>
              </w:rPr>
              <w:t xml:space="preserve">Figure </w:t>
            </w:r>
            <w:r w:rsidR="00446278" w:rsidRPr="00616282">
              <w:rPr>
                <w:rFonts w:ascii="Calibri" w:hAnsi="Calibri" w:cs="Calibri"/>
                <w:b/>
                <w:bCs/>
                <w:color w:val="ED7D31" w:themeColor="accent2"/>
                <w:lang w:val="en-GB"/>
              </w:rPr>
              <w:fldChar w:fldCharType="begin"/>
            </w:r>
            <w:r w:rsidR="00446278" w:rsidRPr="00616282">
              <w:rPr>
                <w:rFonts w:ascii="Calibri" w:hAnsi="Calibri" w:cs="Calibri"/>
                <w:b/>
                <w:bCs/>
                <w:color w:val="ED7D31" w:themeColor="accent2"/>
                <w:lang w:val="en-GB"/>
              </w:rPr>
              <w:instrText xml:space="preserve"> SEQ Figure \* ARABIC </w:instrText>
            </w:r>
            <w:r w:rsidR="00446278" w:rsidRPr="00616282">
              <w:rPr>
                <w:rFonts w:ascii="Calibri" w:hAnsi="Calibri" w:cs="Calibri"/>
                <w:b/>
                <w:bCs/>
                <w:color w:val="ED7D31" w:themeColor="accent2"/>
                <w:lang w:val="en-GB"/>
              </w:rPr>
              <w:fldChar w:fldCharType="separate"/>
            </w:r>
            <w:r w:rsidR="0096670A">
              <w:rPr>
                <w:rFonts w:ascii="Calibri" w:hAnsi="Calibri" w:cs="Calibri"/>
                <w:b/>
                <w:bCs/>
                <w:noProof/>
                <w:color w:val="ED7D31" w:themeColor="accent2"/>
                <w:lang w:val="en-GB"/>
              </w:rPr>
              <w:t>6</w:t>
            </w:r>
            <w:r w:rsidR="00446278" w:rsidRPr="00616282">
              <w:rPr>
                <w:rFonts w:ascii="Calibri" w:hAnsi="Calibri" w:cs="Calibri"/>
                <w:b/>
                <w:bCs/>
                <w:color w:val="ED7D31" w:themeColor="accent2"/>
                <w:lang w:val="en-GB"/>
              </w:rPr>
              <w:fldChar w:fldCharType="end"/>
            </w:r>
            <w:r w:rsidRPr="00616282">
              <w:rPr>
                <w:rFonts w:ascii="Calibri" w:hAnsi="Calibri" w:cs="Calibri"/>
                <w:b/>
                <w:bCs/>
                <w:color w:val="ED7D31" w:themeColor="accent2"/>
                <w:lang w:val="en-GB"/>
              </w:rPr>
              <w:t>. Citi exposure and heatmap of transition and physical risks</w:t>
            </w:r>
            <w:bookmarkEnd w:id="61"/>
          </w:p>
        </w:tc>
      </w:tr>
      <w:tr w:rsidR="002F4A8A" w:rsidRPr="004725EE" w14:paraId="491F1EE4" w14:textId="77777777" w:rsidTr="0061766C">
        <w:tc>
          <w:tcPr>
            <w:tcW w:w="4508" w:type="dxa"/>
          </w:tcPr>
          <w:p w14:paraId="15345BD4" w14:textId="77777777" w:rsidR="002F4A8A" w:rsidRPr="00616282" w:rsidRDefault="002F4A8A" w:rsidP="002F4A8A">
            <w:pPr>
              <w:pStyle w:val="Caption"/>
              <w:rPr>
                <w:rFonts w:ascii="Calibri" w:hAnsi="Calibri" w:cs="Calibri"/>
                <w:b/>
                <w:i w:val="0"/>
                <w:iCs w:val="0"/>
                <w:color w:val="ED7D31" w:themeColor="accent2"/>
                <w:sz w:val="24"/>
                <w:szCs w:val="24"/>
                <w:lang w:val="en-GB"/>
              </w:rPr>
            </w:pPr>
            <w:r w:rsidRPr="00616282">
              <w:rPr>
                <w:rFonts w:ascii="Calibri" w:hAnsi="Calibri" w:cs="Calibri"/>
                <w:noProof/>
                <w:sz w:val="24"/>
                <w:szCs w:val="24"/>
                <w:lang w:val="en-GB"/>
                <w14:ligatures w14:val="standardContextual"/>
              </w:rPr>
              <w:drawing>
                <wp:inline distT="0" distB="0" distL="0" distR="0" wp14:anchorId="762CB1D2" wp14:editId="2BAEC93D">
                  <wp:extent cx="2780150" cy="2542978"/>
                  <wp:effectExtent l="0" t="0" r="1270" b="0"/>
                  <wp:docPr id="1364335369" name="Picture 8" descr="A screenshot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4335369" name="Picture 8" descr="A screenshot of a graph&#10;&#10;Description automatically generated"/>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819354" cy="2578837"/>
                          </a:xfrm>
                          <a:prstGeom prst="rect">
                            <a:avLst/>
                          </a:prstGeom>
                        </pic:spPr>
                      </pic:pic>
                    </a:graphicData>
                  </a:graphic>
                </wp:inline>
              </w:drawing>
            </w:r>
          </w:p>
        </w:tc>
        <w:tc>
          <w:tcPr>
            <w:tcW w:w="4508" w:type="dxa"/>
          </w:tcPr>
          <w:p w14:paraId="14B399C7" w14:textId="77777777" w:rsidR="002F4A8A" w:rsidRPr="00616282" w:rsidRDefault="002F4A8A" w:rsidP="002F4A8A">
            <w:pPr>
              <w:pStyle w:val="Caption"/>
              <w:rPr>
                <w:rFonts w:ascii="Calibri" w:hAnsi="Calibri" w:cs="Calibri"/>
                <w:b/>
                <w:i w:val="0"/>
                <w:iCs w:val="0"/>
                <w:color w:val="ED7D31" w:themeColor="accent2"/>
                <w:sz w:val="24"/>
                <w:szCs w:val="24"/>
                <w:lang w:val="en-GB"/>
              </w:rPr>
            </w:pPr>
            <w:r w:rsidRPr="00616282">
              <w:rPr>
                <w:rFonts w:ascii="Calibri" w:hAnsi="Calibri" w:cs="Calibri"/>
                <w:noProof/>
                <w:sz w:val="24"/>
                <w:szCs w:val="24"/>
                <w:lang w:val="en-GB"/>
                <w14:ligatures w14:val="standardContextual"/>
              </w:rPr>
              <w:drawing>
                <wp:inline distT="0" distB="0" distL="0" distR="0" wp14:anchorId="6B6AFE0D" wp14:editId="02A13136">
                  <wp:extent cx="2725420" cy="2052320"/>
                  <wp:effectExtent l="0" t="0" r="5080" b="5080"/>
                  <wp:docPr id="1464225219" name="Picture 10" descr="A screenshot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4225219" name="Picture 10" descr="A screenshot of a graph&#10;&#10;Description automatically generated"/>
                          <pic:cNvPicPr/>
                        </pic:nvPicPr>
                        <pic:blipFill>
                          <a:blip r:embed="rId28" cstate="print">
                            <a:extLst>
                              <a:ext uri="{28A0092B-C50C-407E-A947-70E740481C1C}">
                                <a14:useLocalDpi xmlns:a14="http://schemas.microsoft.com/office/drawing/2010/main" val="0"/>
                              </a:ext>
                            </a:extLst>
                          </a:blip>
                          <a:stretch>
                            <a:fillRect/>
                          </a:stretch>
                        </pic:blipFill>
                        <pic:spPr>
                          <a:xfrm>
                            <a:off x="0" y="0"/>
                            <a:ext cx="2725420" cy="2052320"/>
                          </a:xfrm>
                          <a:prstGeom prst="rect">
                            <a:avLst/>
                          </a:prstGeom>
                        </pic:spPr>
                      </pic:pic>
                    </a:graphicData>
                  </a:graphic>
                </wp:inline>
              </w:drawing>
            </w:r>
          </w:p>
        </w:tc>
      </w:tr>
      <w:tr w:rsidR="002F4A8A" w:rsidRPr="004725EE" w14:paraId="1276E49A" w14:textId="77777777" w:rsidTr="0061766C">
        <w:tc>
          <w:tcPr>
            <w:tcW w:w="4508" w:type="dxa"/>
          </w:tcPr>
          <w:p w14:paraId="49F0E220" w14:textId="77777777" w:rsidR="002F4A8A" w:rsidRPr="00616282" w:rsidRDefault="002F4A8A" w:rsidP="002F4A8A">
            <w:pPr>
              <w:jc w:val="center"/>
              <w:rPr>
                <w:rFonts w:ascii="Calibri" w:hAnsi="Calibri" w:cs="Calibri"/>
                <w:sz w:val="20"/>
                <w:szCs w:val="20"/>
              </w:rPr>
            </w:pPr>
            <w:r w:rsidRPr="00616282">
              <w:rPr>
                <w:rFonts w:ascii="Calibri" w:hAnsi="Calibri" w:cs="Calibri"/>
                <w:b/>
                <w:bCs/>
                <w:sz w:val="20"/>
                <w:szCs w:val="20"/>
              </w:rPr>
              <w:t>Source</w:t>
            </w:r>
            <w:r w:rsidRPr="00616282">
              <w:rPr>
                <w:rFonts w:ascii="Calibri" w:hAnsi="Calibri" w:cs="Calibri"/>
                <w:sz w:val="20"/>
                <w:szCs w:val="20"/>
              </w:rPr>
              <w:t>: BBVA. 2022. TCFD Report.</w:t>
            </w:r>
          </w:p>
        </w:tc>
        <w:tc>
          <w:tcPr>
            <w:tcW w:w="4508" w:type="dxa"/>
          </w:tcPr>
          <w:p w14:paraId="391FC289" w14:textId="77777777" w:rsidR="002F4A8A" w:rsidRPr="00616282" w:rsidRDefault="002F4A8A" w:rsidP="002F4A8A">
            <w:pPr>
              <w:jc w:val="center"/>
              <w:rPr>
                <w:rFonts w:ascii="Calibri" w:hAnsi="Calibri" w:cs="Calibri"/>
                <w:sz w:val="20"/>
                <w:szCs w:val="20"/>
              </w:rPr>
            </w:pPr>
            <w:r w:rsidRPr="00616282">
              <w:rPr>
                <w:rFonts w:ascii="Calibri" w:hAnsi="Calibri" w:cs="Calibri"/>
                <w:b/>
                <w:bCs/>
                <w:sz w:val="20"/>
                <w:szCs w:val="20"/>
              </w:rPr>
              <w:t>Source</w:t>
            </w:r>
            <w:r w:rsidRPr="00616282">
              <w:rPr>
                <w:rFonts w:ascii="Calibri" w:hAnsi="Calibri" w:cs="Calibri"/>
                <w:sz w:val="20"/>
                <w:szCs w:val="20"/>
              </w:rPr>
              <w:t>: Citi. 2022. TCFD Report.</w:t>
            </w:r>
          </w:p>
        </w:tc>
      </w:tr>
    </w:tbl>
    <w:p w14:paraId="6664A6EE" w14:textId="77777777" w:rsidR="00CB7548" w:rsidRPr="00616282" w:rsidRDefault="00CB7548" w:rsidP="00B720D9">
      <w:pPr>
        <w:rPr>
          <w:rFonts w:ascii="Calibri" w:hAnsi="Calibri" w:cs="Calibri"/>
          <w:lang w:val="en-GB"/>
        </w:rPr>
      </w:pPr>
    </w:p>
    <w:p w14:paraId="6A480A3F" w14:textId="02329058" w:rsidR="00E673ED" w:rsidRPr="00616282" w:rsidRDefault="00CD5136" w:rsidP="00616282">
      <w:pPr>
        <w:jc w:val="both"/>
        <w:rPr>
          <w:rFonts w:ascii="Calibri" w:hAnsi="Calibri" w:cs="Calibri"/>
          <w:lang w:val="en-GB"/>
        </w:rPr>
      </w:pPr>
      <w:bookmarkStart w:id="62" w:name="_Toc167079298"/>
      <w:bookmarkStart w:id="63" w:name="_Toc167079487"/>
      <w:r w:rsidRPr="00616282">
        <w:rPr>
          <w:rFonts w:ascii="Calibri" w:hAnsi="Calibri" w:cs="Calibri"/>
          <w:lang w:val="en-GB"/>
        </w:rPr>
        <w:t xml:space="preserve">The Framework Reporting Templates include a materiality assessment </w:t>
      </w:r>
      <w:r w:rsidR="00A84600" w:rsidRPr="00616282">
        <w:rPr>
          <w:rFonts w:ascii="Calibri" w:hAnsi="Calibri" w:cs="Calibri"/>
          <w:lang w:val="en-GB"/>
        </w:rPr>
        <w:t xml:space="preserve">table to assist banks in summarizing their analyses across credit exposures. There are drop down </w:t>
      </w:r>
      <w:r w:rsidR="00E673ED" w:rsidRPr="00616282">
        <w:rPr>
          <w:rFonts w:ascii="Calibri" w:hAnsi="Calibri" w:cs="Calibri"/>
          <w:lang w:val="en-GB"/>
        </w:rPr>
        <w:t>options for commonly selected risk drivers</w:t>
      </w:r>
      <w:r w:rsidR="00710411">
        <w:rPr>
          <w:rFonts w:ascii="Calibri" w:hAnsi="Calibri" w:cs="Calibri"/>
          <w:lang w:val="en-GB"/>
        </w:rPr>
        <w:t>, but</w:t>
      </w:r>
      <w:r w:rsidR="00E673ED" w:rsidRPr="00616282">
        <w:rPr>
          <w:rFonts w:ascii="Calibri" w:hAnsi="Calibri" w:cs="Calibri"/>
          <w:lang w:val="en-GB"/>
        </w:rPr>
        <w:t xml:space="preserve"> banks are free to select those which are unique to their own circumstances.</w:t>
      </w:r>
      <w:bookmarkEnd w:id="62"/>
      <w:bookmarkEnd w:id="63"/>
    </w:p>
    <w:p w14:paraId="59A547F0" w14:textId="77777777" w:rsidR="00E673ED" w:rsidRPr="00616282" w:rsidRDefault="00E673ED" w:rsidP="00B720D9">
      <w:pPr>
        <w:rPr>
          <w:rFonts w:ascii="Calibri" w:hAnsi="Calibri" w:cs="Calibri"/>
          <w:lang w:val="en-GB"/>
        </w:rPr>
      </w:pPr>
    </w:p>
    <w:p w14:paraId="30E3A6C3" w14:textId="6D137A61" w:rsidR="00886A02" w:rsidRPr="00616282" w:rsidRDefault="00886A02">
      <w:pPr>
        <w:rPr>
          <w:rFonts w:ascii="Calibri" w:hAnsi="Calibri" w:cs="Calibri"/>
          <w:b/>
          <w:bCs/>
          <w:color w:val="ED7D31" w:themeColor="accent2"/>
          <w:lang w:val="en-GB"/>
        </w:rPr>
      </w:pPr>
      <w:bookmarkStart w:id="64" w:name="_Toc171908207"/>
      <w:r w:rsidRPr="00616282">
        <w:rPr>
          <w:rFonts w:ascii="Calibri" w:hAnsi="Calibri" w:cs="Calibri"/>
          <w:b/>
          <w:bCs/>
          <w:color w:val="ED7D31" w:themeColor="accent2"/>
          <w:lang w:val="en-GB"/>
        </w:rPr>
        <w:t xml:space="preserve">Table </w:t>
      </w:r>
      <w:r w:rsidRPr="00616282">
        <w:rPr>
          <w:rFonts w:ascii="Calibri" w:hAnsi="Calibri" w:cs="Calibri"/>
          <w:b/>
          <w:bCs/>
          <w:color w:val="ED7D31" w:themeColor="accent2"/>
          <w:lang w:val="en-GB"/>
        </w:rPr>
        <w:fldChar w:fldCharType="begin"/>
      </w:r>
      <w:r w:rsidRPr="00616282">
        <w:rPr>
          <w:rFonts w:ascii="Calibri" w:hAnsi="Calibri" w:cs="Calibri"/>
          <w:b/>
          <w:bCs/>
          <w:color w:val="ED7D31" w:themeColor="accent2"/>
          <w:lang w:val="en-GB"/>
        </w:rPr>
        <w:instrText xml:space="preserve"> SEQ Table \* ARABIC </w:instrText>
      </w:r>
      <w:r w:rsidRPr="00616282">
        <w:rPr>
          <w:rFonts w:ascii="Calibri" w:hAnsi="Calibri" w:cs="Calibri"/>
          <w:b/>
          <w:bCs/>
          <w:color w:val="ED7D31" w:themeColor="accent2"/>
          <w:lang w:val="en-GB"/>
        </w:rPr>
        <w:fldChar w:fldCharType="separate"/>
      </w:r>
      <w:r w:rsidR="0096670A">
        <w:rPr>
          <w:rFonts w:ascii="Calibri" w:hAnsi="Calibri" w:cs="Calibri"/>
          <w:b/>
          <w:bCs/>
          <w:noProof/>
          <w:color w:val="ED7D31" w:themeColor="accent2"/>
          <w:lang w:val="en-GB"/>
        </w:rPr>
        <w:t>13</w:t>
      </w:r>
      <w:r w:rsidRPr="00616282">
        <w:rPr>
          <w:rFonts w:ascii="Calibri" w:hAnsi="Calibri" w:cs="Calibri"/>
          <w:b/>
          <w:bCs/>
          <w:color w:val="ED7D31" w:themeColor="accent2"/>
          <w:lang w:val="en-GB"/>
        </w:rPr>
        <w:fldChar w:fldCharType="end"/>
      </w:r>
      <w:r w:rsidRPr="00616282">
        <w:rPr>
          <w:rFonts w:ascii="Calibri" w:hAnsi="Calibri" w:cs="Calibri"/>
          <w:b/>
          <w:bCs/>
          <w:color w:val="ED7D31" w:themeColor="accent2"/>
          <w:lang w:val="en-GB"/>
        </w:rPr>
        <w:t>. Climate related materiality assessment</w:t>
      </w:r>
      <w:bookmarkEnd w:id="64"/>
    </w:p>
    <w:p w14:paraId="52B5758C" w14:textId="77777777" w:rsidR="00FA5C15" w:rsidRPr="00616282" w:rsidRDefault="00FA5C15" w:rsidP="00616282">
      <w:pPr>
        <w:rPr>
          <w:rFonts w:ascii="Calibri" w:hAnsi="Calibri" w:cs="Calibri"/>
          <w:b/>
          <w:bCs/>
          <w:color w:val="ED7D31" w:themeColor="accent2"/>
          <w:lang w:val="en-GB"/>
        </w:rPr>
      </w:pPr>
    </w:p>
    <w:p w14:paraId="56609E28" w14:textId="39472688" w:rsidR="00CD5136" w:rsidRPr="00616282" w:rsidRDefault="00FA5C15" w:rsidP="00FA5C15">
      <w:pPr>
        <w:rPr>
          <w:rFonts w:ascii="Calibri" w:hAnsi="Calibri" w:cs="Calibri"/>
          <w:lang w:val="en-GB"/>
        </w:rPr>
      </w:pPr>
      <w:r w:rsidRPr="00616282">
        <w:rPr>
          <w:rFonts w:ascii="Calibri" w:hAnsi="Calibri" w:cs="Calibri"/>
          <w:noProof/>
          <w:lang w:val="en-GB"/>
          <w14:ligatures w14:val="standardContextual"/>
        </w:rPr>
        <w:drawing>
          <wp:inline distT="0" distB="0" distL="0" distR="0" wp14:anchorId="799DFB75" wp14:editId="0DC964DD">
            <wp:extent cx="5731510" cy="3032760"/>
            <wp:effectExtent l="0" t="0" r="0" b="2540"/>
            <wp:docPr id="419927275" name="Picture 2" descr="A screenshot of a computer scre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9927275" name="Picture 2" descr="A screenshot of a computer screen&#10;&#10;Description automatically generated"/>
                    <pic:cNvPicPr/>
                  </pic:nvPicPr>
                  <pic:blipFill>
                    <a:blip r:embed="rId29">
                      <a:extLst>
                        <a:ext uri="{28A0092B-C50C-407E-A947-70E740481C1C}">
                          <a14:useLocalDpi xmlns:a14="http://schemas.microsoft.com/office/drawing/2010/main" val="0"/>
                        </a:ext>
                      </a:extLst>
                    </a:blip>
                    <a:stretch>
                      <a:fillRect/>
                    </a:stretch>
                  </pic:blipFill>
                  <pic:spPr>
                    <a:xfrm>
                      <a:off x="0" y="0"/>
                      <a:ext cx="5731510" cy="3032760"/>
                    </a:xfrm>
                    <a:prstGeom prst="rect">
                      <a:avLst/>
                    </a:prstGeom>
                  </pic:spPr>
                </pic:pic>
              </a:graphicData>
            </a:graphic>
          </wp:inline>
        </w:drawing>
      </w:r>
    </w:p>
    <w:p w14:paraId="615CA295" w14:textId="3B46C265" w:rsidR="00A74BD5" w:rsidRPr="00616282" w:rsidRDefault="00A74BD5" w:rsidP="00A74BD5">
      <w:pPr>
        <w:jc w:val="both"/>
        <w:rPr>
          <w:rFonts w:ascii="Calibri" w:hAnsi="Calibri" w:cs="Calibri"/>
          <w:sz w:val="20"/>
          <w:szCs w:val="20"/>
          <w:lang w:val="en-GB"/>
        </w:rPr>
      </w:pPr>
      <w:r w:rsidRPr="00616282">
        <w:rPr>
          <w:rFonts w:ascii="Calibri" w:hAnsi="Calibri" w:cs="Calibri"/>
          <w:b/>
          <w:bCs/>
          <w:sz w:val="20"/>
          <w:szCs w:val="20"/>
          <w:lang w:val="en-GB"/>
        </w:rPr>
        <w:t>Source</w:t>
      </w:r>
      <w:r w:rsidRPr="00616282">
        <w:rPr>
          <w:rFonts w:ascii="Calibri" w:hAnsi="Calibri" w:cs="Calibri"/>
          <w:sz w:val="20"/>
          <w:szCs w:val="20"/>
          <w:lang w:val="en-GB"/>
        </w:rPr>
        <w:t xml:space="preserve">: </w:t>
      </w:r>
      <w:r w:rsidR="00C807D2">
        <w:rPr>
          <w:rFonts w:ascii="Calibri" w:hAnsi="Calibri" w:cs="Calibri"/>
          <w:sz w:val="20"/>
          <w:szCs w:val="20"/>
          <w:lang w:val="en-GB"/>
        </w:rPr>
        <w:t>Adapted from the European Banking Authority. 2022. Final report draft Implementing Technical Standards (ITS) on prudential disclosures on ESG.</w:t>
      </w:r>
    </w:p>
    <w:p w14:paraId="1C5124CB" w14:textId="77777777" w:rsidR="003B2AB0" w:rsidRPr="00616282" w:rsidRDefault="003B2AB0" w:rsidP="00FA5C15">
      <w:pPr>
        <w:rPr>
          <w:rFonts w:ascii="Calibri" w:hAnsi="Calibri" w:cs="Calibri"/>
          <w:lang w:val="en-GB"/>
        </w:rPr>
      </w:pPr>
    </w:p>
    <w:p w14:paraId="3DF5EABD" w14:textId="08862E6B" w:rsidR="00391F02" w:rsidRPr="00616282" w:rsidRDefault="00CB7548" w:rsidP="00616282">
      <w:pPr>
        <w:jc w:val="both"/>
        <w:rPr>
          <w:rFonts w:ascii="Calibri" w:hAnsi="Calibri" w:cs="Calibri"/>
          <w:lang w:val="en-GB"/>
        </w:rPr>
      </w:pPr>
      <w:bookmarkStart w:id="65" w:name="_Toc167079300"/>
      <w:bookmarkStart w:id="66" w:name="_Toc167079489"/>
      <w:r w:rsidRPr="00616282">
        <w:rPr>
          <w:rFonts w:ascii="Calibri" w:hAnsi="Calibri" w:cs="Calibri"/>
          <w:lang w:val="en-GB"/>
        </w:rPr>
        <w:t xml:space="preserve">Once </w:t>
      </w:r>
      <w:r w:rsidR="00886A02" w:rsidRPr="00616282">
        <w:rPr>
          <w:rFonts w:ascii="Calibri" w:hAnsi="Calibri" w:cs="Calibri"/>
          <w:lang w:val="en-GB"/>
        </w:rPr>
        <w:t xml:space="preserve">the </w:t>
      </w:r>
      <w:r w:rsidRPr="00616282">
        <w:rPr>
          <w:rFonts w:ascii="Calibri" w:hAnsi="Calibri" w:cs="Calibri"/>
          <w:lang w:val="en-GB"/>
        </w:rPr>
        <w:t>materiality assessment is</w:t>
      </w:r>
      <w:r w:rsidR="00886A02" w:rsidRPr="00616282">
        <w:rPr>
          <w:rFonts w:ascii="Calibri" w:hAnsi="Calibri" w:cs="Calibri"/>
          <w:lang w:val="en-GB"/>
        </w:rPr>
        <w:t xml:space="preserve"> completed</w:t>
      </w:r>
      <w:r w:rsidRPr="00616282">
        <w:rPr>
          <w:rFonts w:ascii="Calibri" w:hAnsi="Calibri" w:cs="Calibri"/>
          <w:lang w:val="en-GB"/>
        </w:rPr>
        <w:t xml:space="preserve">, banks </w:t>
      </w:r>
      <w:r w:rsidR="00674B29" w:rsidRPr="00616282">
        <w:rPr>
          <w:rFonts w:ascii="Calibri" w:hAnsi="Calibri" w:cs="Calibri"/>
          <w:lang w:val="en-GB"/>
        </w:rPr>
        <w:t>should</w:t>
      </w:r>
      <w:r w:rsidRPr="00616282">
        <w:rPr>
          <w:rFonts w:ascii="Calibri" w:hAnsi="Calibri" w:cs="Calibri"/>
          <w:lang w:val="en-GB"/>
        </w:rPr>
        <w:t xml:space="preserve"> </w:t>
      </w:r>
      <w:r w:rsidR="000F0BE7" w:rsidRPr="00616282">
        <w:rPr>
          <w:rFonts w:ascii="Calibri" w:hAnsi="Calibri" w:cs="Calibri"/>
          <w:b/>
          <w:bCs/>
          <w:color w:val="4472C4" w:themeColor="accent1"/>
          <w:lang w:val="en-GB"/>
        </w:rPr>
        <w:t>estimate their financed emissions in material sectors</w:t>
      </w:r>
      <w:r w:rsidR="008069DF" w:rsidRPr="00616282">
        <w:rPr>
          <w:rFonts w:ascii="Calibri" w:hAnsi="Calibri" w:cs="Calibri"/>
          <w:lang w:val="en-GB"/>
        </w:rPr>
        <w:t xml:space="preserve">. An industry leading </w:t>
      </w:r>
      <w:r w:rsidR="000F0BE7" w:rsidRPr="00616282">
        <w:rPr>
          <w:rFonts w:ascii="Calibri" w:hAnsi="Calibri" w:cs="Calibri"/>
          <w:lang w:val="en-GB"/>
        </w:rPr>
        <w:t>approach is the</w:t>
      </w:r>
      <w:r w:rsidR="00674B29" w:rsidRPr="00616282">
        <w:rPr>
          <w:rFonts w:ascii="Calibri" w:hAnsi="Calibri" w:cs="Calibri"/>
          <w:lang w:val="en-GB"/>
        </w:rPr>
        <w:t xml:space="preserve"> </w:t>
      </w:r>
      <w:hyperlink r:id="rId30" w:history="1">
        <w:r w:rsidR="00674B29" w:rsidRPr="00616282">
          <w:rPr>
            <w:rFonts w:ascii="Calibri" w:hAnsi="Calibri" w:cs="Calibri"/>
            <w:i/>
            <w:iCs/>
            <w:color w:val="4472C4" w:themeColor="accent1"/>
            <w:u w:val="single"/>
            <w:lang w:val="en-GB"/>
          </w:rPr>
          <w:t xml:space="preserve">Partnership for Carbon Accounting </w:t>
        </w:r>
        <w:r w:rsidR="00391F02" w:rsidRPr="00616282">
          <w:rPr>
            <w:rFonts w:ascii="Calibri" w:hAnsi="Calibri" w:cs="Calibri"/>
            <w:i/>
            <w:iCs/>
            <w:color w:val="4472C4" w:themeColor="accent1"/>
            <w:u w:val="single"/>
            <w:lang w:val="en-GB"/>
          </w:rPr>
          <w:t>Financials</w:t>
        </w:r>
      </w:hyperlink>
      <w:r w:rsidR="00391F02" w:rsidRPr="00616282">
        <w:rPr>
          <w:rFonts w:ascii="Calibri" w:hAnsi="Calibri" w:cs="Calibri"/>
          <w:i/>
          <w:iCs/>
          <w:color w:val="4472C4" w:themeColor="accent1"/>
          <w:lang w:val="en-GB"/>
        </w:rPr>
        <w:t xml:space="preserve"> </w:t>
      </w:r>
      <w:r w:rsidR="00391F02" w:rsidRPr="00616282">
        <w:rPr>
          <w:rFonts w:ascii="Calibri" w:hAnsi="Calibri" w:cs="Calibri"/>
          <w:lang w:val="en-GB"/>
        </w:rPr>
        <w:t>(PCAF) methodology</w:t>
      </w:r>
      <w:r w:rsidR="000F0BE7" w:rsidRPr="00616282">
        <w:rPr>
          <w:rFonts w:ascii="Calibri" w:hAnsi="Calibri" w:cs="Calibri"/>
          <w:lang w:val="en-GB"/>
        </w:rPr>
        <w:t>.</w:t>
      </w:r>
      <w:r w:rsidR="00391F02" w:rsidRPr="00616282">
        <w:rPr>
          <w:rFonts w:ascii="Calibri" w:hAnsi="Calibri" w:cs="Calibri"/>
          <w:lang w:val="en-GB"/>
        </w:rPr>
        <w:t xml:space="preserve"> </w:t>
      </w:r>
      <w:r w:rsidR="000F0BE7" w:rsidRPr="00616282">
        <w:rPr>
          <w:rFonts w:ascii="Calibri" w:hAnsi="Calibri" w:cs="Calibri"/>
          <w:lang w:val="en-GB"/>
        </w:rPr>
        <w:t>The emissions</w:t>
      </w:r>
      <w:r w:rsidR="00391F02" w:rsidRPr="00616282">
        <w:rPr>
          <w:rFonts w:ascii="Calibri" w:hAnsi="Calibri" w:cs="Calibri"/>
          <w:lang w:val="en-GB"/>
        </w:rPr>
        <w:t xml:space="preserve"> </w:t>
      </w:r>
      <w:r w:rsidR="003D6058" w:rsidRPr="00616282">
        <w:rPr>
          <w:rFonts w:ascii="Calibri" w:hAnsi="Calibri" w:cs="Calibri"/>
          <w:lang w:val="en-GB"/>
        </w:rPr>
        <w:t xml:space="preserve">profile of counterparties and bank portfolios can then be </w:t>
      </w:r>
      <w:r w:rsidR="003D6058" w:rsidRPr="00616282">
        <w:rPr>
          <w:rFonts w:ascii="Calibri" w:hAnsi="Calibri" w:cs="Calibri"/>
          <w:lang w:val="en-GB"/>
        </w:rPr>
        <w:lastRenderedPageBreak/>
        <w:t>compared</w:t>
      </w:r>
      <w:r w:rsidR="00391F02" w:rsidRPr="00616282">
        <w:rPr>
          <w:rFonts w:ascii="Calibri" w:hAnsi="Calibri" w:cs="Calibri"/>
          <w:lang w:val="en-GB"/>
        </w:rPr>
        <w:t xml:space="preserve"> against the national low-emission pathways (e.g., LT-LEDS). As a start, banks should focus on business loans and larg</w:t>
      </w:r>
      <w:r w:rsidR="004F49FB" w:rsidRPr="00616282">
        <w:rPr>
          <w:rFonts w:ascii="Calibri" w:hAnsi="Calibri" w:cs="Calibri"/>
          <w:lang w:val="en-GB"/>
        </w:rPr>
        <w:t>e</w:t>
      </w:r>
      <w:r w:rsidR="00391F02" w:rsidRPr="00616282">
        <w:rPr>
          <w:rFonts w:ascii="Calibri" w:hAnsi="Calibri" w:cs="Calibri"/>
          <w:lang w:val="en-GB"/>
        </w:rPr>
        <w:t xml:space="preserve"> </w:t>
      </w:r>
      <w:r w:rsidR="004F49FB" w:rsidRPr="00616282">
        <w:rPr>
          <w:rFonts w:ascii="Calibri" w:hAnsi="Calibri" w:cs="Calibri"/>
          <w:lang w:val="en-GB"/>
        </w:rPr>
        <w:t xml:space="preserve">portfolio </w:t>
      </w:r>
      <w:r w:rsidR="00391F02" w:rsidRPr="00616282">
        <w:rPr>
          <w:rFonts w:ascii="Calibri" w:hAnsi="Calibri" w:cs="Calibri"/>
          <w:lang w:val="en-GB"/>
        </w:rPr>
        <w:t>exp</w:t>
      </w:r>
      <w:r w:rsidR="001C1AB8" w:rsidRPr="00616282">
        <w:rPr>
          <w:rFonts w:ascii="Calibri" w:hAnsi="Calibri" w:cs="Calibri"/>
          <w:lang w:val="en-GB"/>
        </w:rPr>
        <w:t>osures</w:t>
      </w:r>
      <w:r w:rsidR="005C721B">
        <w:rPr>
          <w:rFonts w:ascii="Calibri" w:hAnsi="Calibri" w:cs="Calibri"/>
          <w:lang w:val="en-GB"/>
        </w:rPr>
        <w:t>,</w:t>
      </w:r>
      <w:r w:rsidR="001C1AB8" w:rsidRPr="00616282">
        <w:rPr>
          <w:rFonts w:ascii="Calibri" w:hAnsi="Calibri" w:cs="Calibri"/>
          <w:lang w:val="en-GB"/>
        </w:rPr>
        <w:t xml:space="preserve"> </w:t>
      </w:r>
      <w:r w:rsidR="005C721B">
        <w:rPr>
          <w:rFonts w:ascii="Calibri" w:hAnsi="Calibri" w:cs="Calibri"/>
          <w:lang w:val="en-GB"/>
        </w:rPr>
        <w:t>l</w:t>
      </w:r>
      <w:r w:rsidR="001C1AB8" w:rsidRPr="00616282">
        <w:rPr>
          <w:rFonts w:ascii="Calibri" w:hAnsi="Calibri" w:cs="Calibri"/>
          <w:lang w:val="en-GB"/>
        </w:rPr>
        <w:t>ater progress</w:t>
      </w:r>
      <w:r w:rsidR="005C721B">
        <w:rPr>
          <w:rFonts w:ascii="Calibri" w:hAnsi="Calibri" w:cs="Calibri"/>
          <w:lang w:val="en-GB"/>
        </w:rPr>
        <w:t xml:space="preserve">ing </w:t>
      </w:r>
      <w:proofErr w:type="gramStart"/>
      <w:r w:rsidR="005C721B">
        <w:rPr>
          <w:rFonts w:ascii="Calibri" w:hAnsi="Calibri" w:cs="Calibri"/>
          <w:lang w:val="en-GB"/>
        </w:rPr>
        <w:t xml:space="preserve">to </w:t>
      </w:r>
      <w:r w:rsidR="001C1AB8" w:rsidRPr="00616282">
        <w:rPr>
          <w:rFonts w:ascii="Calibri" w:hAnsi="Calibri" w:cs="Calibri"/>
          <w:lang w:val="en-GB"/>
        </w:rPr>
        <w:t xml:space="preserve"> include</w:t>
      </w:r>
      <w:proofErr w:type="gramEnd"/>
      <w:r w:rsidR="001C1AB8" w:rsidRPr="00616282">
        <w:rPr>
          <w:rFonts w:ascii="Calibri" w:hAnsi="Calibri" w:cs="Calibri"/>
          <w:lang w:val="en-GB"/>
        </w:rPr>
        <w:t xml:space="preserve"> other </w:t>
      </w:r>
      <w:r w:rsidR="004F49FB" w:rsidRPr="00616282">
        <w:rPr>
          <w:rFonts w:ascii="Calibri" w:hAnsi="Calibri" w:cs="Calibri"/>
          <w:lang w:val="en-GB"/>
        </w:rPr>
        <w:t>asset classes (commercial real estate, mortgages, motor vehicle loans) in the calculations.</w:t>
      </w:r>
      <w:r w:rsidR="0013088E" w:rsidRPr="00616282">
        <w:rPr>
          <w:rFonts w:ascii="Calibri" w:hAnsi="Calibri" w:cs="Calibri"/>
          <w:lang w:val="en-GB"/>
        </w:rPr>
        <w:t xml:space="preserve"> (</w:t>
      </w:r>
      <w:r w:rsidR="00435DD2" w:rsidRPr="00616282">
        <w:rPr>
          <w:rFonts w:ascii="Calibri" w:hAnsi="Calibri" w:cs="Calibri"/>
          <w:lang w:val="en-GB"/>
        </w:rPr>
        <w:t xml:space="preserve">See </w:t>
      </w:r>
      <w:r w:rsidR="00435DD2" w:rsidRPr="00616282">
        <w:rPr>
          <w:rFonts w:ascii="Calibri" w:hAnsi="Calibri" w:cs="Calibri"/>
          <w:b/>
          <w:bCs/>
          <w:i/>
          <w:iCs/>
          <w:lang w:val="en-GB"/>
        </w:rPr>
        <w:t>Transition Risk Exposure Reporting Template Part B</w:t>
      </w:r>
      <w:r w:rsidR="00435DD2" w:rsidRPr="00616282">
        <w:rPr>
          <w:rFonts w:ascii="Calibri" w:hAnsi="Calibri" w:cs="Calibri"/>
          <w:lang w:val="en-GB"/>
        </w:rPr>
        <w:t>)</w:t>
      </w:r>
      <w:bookmarkEnd w:id="65"/>
      <w:bookmarkEnd w:id="66"/>
    </w:p>
    <w:p w14:paraId="510CF39E" w14:textId="1D6C97FE" w:rsidR="004F49FB" w:rsidRPr="00616282" w:rsidRDefault="004F49FB" w:rsidP="00FB0DA0">
      <w:pPr>
        <w:outlineLvl w:val="0"/>
        <w:rPr>
          <w:rFonts w:ascii="Calibri" w:hAnsi="Calibri" w:cs="Calibri"/>
          <w:lang w:val="en-GB"/>
        </w:rPr>
      </w:pPr>
    </w:p>
    <w:p w14:paraId="4F20FB97" w14:textId="4976E4AC" w:rsidR="00115E53" w:rsidRPr="00616282" w:rsidRDefault="004F49FB" w:rsidP="00616282">
      <w:pPr>
        <w:jc w:val="both"/>
        <w:rPr>
          <w:rFonts w:ascii="Calibri" w:hAnsi="Calibri" w:cs="Calibri"/>
          <w:lang w:val="en-GB"/>
        </w:rPr>
      </w:pPr>
      <w:r w:rsidRPr="00616282">
        <w:rPr>
          <w:rFonts w:ascii="Calibri" w:hAnsi="Calibri" w:cs="Calibri"/>
          <w:lang w:val="en-GB"/>
        </w:rPr>
        <w:t xml:space="preserve">As banks start measuring their financed emissions, the following step would be </w:t>
      </w:r>
      <w:r w:rsidR="00CB7548" w:rsidRPr="00616282">
        <w:rPr>
          <w:rFonts w:ascii="Calibri" w:hAnsi="Calibri" w:cs="Calibri"/>
          <w:lang w:val="en-GB"/>
        </w:rPr>
        <w:t xml:space="preserve">to </w:t>
      </w:r>
      <w:r w:rsidR="00CB7548" w:rsidRPr="00616282">
        <w:rPr>
          <w:rFonts w:ascii="Calibri" w:hAnsi="Calibri" w:cs="Calibri"/>
          <w:b/>
          <w:bCs/>
          <w:color w:val="4472C4" w:themeColor="accent1"/>
          <w:lang w:val="en-GB"/>
        </w:rPr>
        <w:t xml:space="preserve">establish specific </w:t>
      </w:r>
      <w:r w:rsidRPr="00616282">
        <w:rPr>
          <w:rFonts w:ascii="Calibri" w:hAnsi="Calibri" w:cs="Calibri"/>
          <w:b/>
          <w:bCs/>
          <w:color w:val="4472C4" w:themeColor="accent1"/>
          <w:lang w:val="en-GB"/>
        </w:rPr>
        <w:t xml:space="preserve">short-, medium- and long-term </w:t>
      </w:r>
      <w:r w:rsidR="00CB7548" w:rsidRPr="00616282">
        <w:rPr>
          <w:rFonts w:ascii="Calibri" w:hAnsi="Calibri" w:cs="Calibri"/>
          <w:b/>
          <w:bCs/>
          <w:color w:val="4472C4" w:themeColor="accent1"/>
          <w:lang w:val="en-GB"/>
        </w:rPr>
        <w:t xml:space="preserve">targets </w:t>
      </w:r>
      <w:r w:rsidR="00115E53" w:rsidRPr="00616282">
        <w:rPr>
          <w:rFonts w:ascii="Calibri" w:hAnsi="Calibri" w:cs="Calibri"/>
          <w:b/>
          <w:bCs/>
          <w:color w:val="4472C4" w:themeColor="accent1"/>
          <w:lang w:val="en-GB"/>
        </w:rPr>
        <w:t xml:space="preserve">or </w:t>
      </w:r>
      <w:r w:rsidR="00CB7548" w:rsidRPr="00616282">
        <w:rPr>
          <w:rFonts w:ascii="Calibri" w:hAnsi="Calibri" w:cs="Calibri"/>
          <w:b/>
          <w:bCs/>
          <w:color w:val="4472C4" w:themeColor="accent1"/>
          <w:lang w:val="en-GB"/>
        </w:rPr>
        <w:t>Key Performance Indicators (KPIs)</w:t>
      </w:r>
      <w:r w:rsidRPr="00616282">
        <w:rPr>
          <w:rFonts w:ascii="Calibri" w:hAnsi="Calibri" w:cs="Calibri"/>
          <w:b/>
          <w:bCs/>
          <w:color w:val="4472C4" w:themeColor="accent1"/>
          <w:lang w:val="en-GB"/>
        </w:rPr>
        <w:t xml:space="preserve"> in material sectors</w:t>
      </w:r>
      <w:r w:rsidRPr="00616282">
        <w:rPr>
          <w:rFonts w:ascii="Calibri" w:hAnsi="Calibri" w:cs="Calibri"/>
          <w:color w:val="4472C4" w:themeColor="accent1"/>
          <w:lang w:val="en-GB"/>
        </w:rPr>
        <w:t xml:space="preserve"> </w:t>
      </w:r>
      <w:r w:rsidRPr="00616282">
        <w:rPr>
          <w:rFonts w:ascii="Calibri" w:hAnsi="Calibri" w:cs="Calibri"/>
          <w:lang w:val="en-GB"/>
        </w:rPr>
        <w:t xml:space="preserve">aligned to </w:t>
      </w:r>
      <w:r w:rsidR="002B5A68" w:rsidRPr="00616282">
        <w:rPr>
          <w:rFonts w:ascii="Calibri" w:hAnsi="Calibri" w:cs="Calibri"/>
          <w:lang w:val="en-GB"/>
        </w:rPr>
        <w:t xml:space="preserve">a scenario. </w:t>
      </w:r>
      <w:r w:rsidR="005E0A45" w:rsidRPr="00616282">
        <w:rPr>
          <w:rFonts w:ascii="Calibri" w:hAnsi="Calibri" w:cs="Calibri"/>
          <w:lang w:val="en-GB"/>
        </w:rPr>
        <w:t xml:space="preserve">CBK has provided an optional alignment metrics reporting template to support such </w:t>
      </w:r>
      <w:r w:rsidR="002C6127" w:rsidRPr="00616282">
        <w:rPr>
          <w:rFonts w:ascii="Calibri" w:hAnsi="Calibri" w:cs="Calibri"/>
          <w:lang w:val="en-GB"/>
        </w:rPr>
        <w:t>endeavours</w:t>
      </w:r>
      <w:r w:rsidR="005E0A45" w:rsidRPr="00616282">
        <w:rPr>
          <w:rFonts w:ascii="Calibri" w:hAnsi="Calibri" w:cs="Calibri"/>
          <w:lang w:val="en-GB"/>
        </w:rPr>
        <w:t>.</w:t>
      </w:r>
    </w:p>
    <w:p w14:paraId="7D8B3E9B" w14:textId="77777777" w:rsidR="00115E53" w:rsidRPr="00616282" w:rsidRDefault="00115E53" w:rsidP="00287E22">
      <w:pPr>
        <w:rPr>
          <w:rFonts w:ascii="Calibri" w:hAnsi="Calibri" w:cs="Calibri"/>
          <w:lang w:val="en-GB"/>
        </w:rPr>
      </w:pPr>
    </w:p>
    <w:p w14:paraId="6DB40288" w14:textId="74148F75" w:rsidR="005E0A45" w:rsidRPr="00616282" w:rsidRDefault="005E0A45" w:rsidP="00616282">
      <w:pPr>
        <w:rPr>
          <w:rFonts w:ascii="Calibri" w:hAnsi="Calibri" w:cs="Calibri"/>
          <w:b/>
          <w:bCs/>
          <w:color w:val="ED7D31" w:themeColor="accent2"/>
          <w:lang w:val="en-GB"/>
        </w:rPr>
      </w:pPr>
      <w:bookmarkStart w:id="67" w:name="_Toc171908208"/>
      <w:bookmarkStart w:id="68" w:name="_Ref167078862"/>
      <w:r w:rsidRPr="00616282">
        <w:rPr>
          <w:rFonts w:ascii="Calibri" w:hAnsi="Calibri" w:cs="Calibri"/>
          <w:b/>
          <w:bCs/>
          <w:color w:val="ED7D31" w:themeColor="accent2"/>
          <w:lang w:val="en-GB"/>
        </w:rPr>
        <w:t xml:space="preserve">Table </w:t>
      </w:r>
      <w:r w:rsidRPr="00616282">
        <w:rPr>
          <w:rFonts w:ascii="Calibri" w:hAnsi="Calibri" w:cs="Calibri"/>
          <w:b/>
          <w:bCs/>
          <w:color w:val="ED7D31" w:themeColor="accent2"/>
          <w:lang w:val="en-GB"/>
        </w:rPr>
        <w:fldChar w:fldCharType="begin"/>
      </w:r>
      <w:r w:rsidRPr="00616282">
        <w:rPr>
          <w:rFonts w:ascii="Calibri" w:hAnsi="Calibri" w:cs="Calibri"/>
          <w:b/>
          <w:bCs/>
          <w:color w:val="ED7D31" w:themeColor="accent2"/>
          <w:lang w:val="en-GB"/>
        </w:rPr>
        <w:instrText xml:space="preserve"> SEQ Table \* ARABIC </w:instrText>
      </w:r>
      <w:r w:rsidRPr="00616282">
        <w:rPr>
          <w:rFonts w:ascii="Calibri" w:hAnsi="Calibri" w:cs="Calibri"/>
          <w:b/>
          <w:bCs/>
          <w:color w:val="ED7D31" w:themeColor="accent2"/>
          <w:lang w:val="en-GB"/>
        </w:rPr>
        <w:fldChar w:fldCharType="separate"/>
      </w:r>
      <w:r w:rsidR="0096670A">
        <w:rPr>
          <w:rFonts w:ascii="Calibri" w:hAnsi="Calibri" w:cs="Calibri"/>
          <w:b/>
          <w:bCs/>
          <w:noProof/>
          <w:color w:val="ED7D31" w:themeColor="accent2"/>
          <w:lang w:val="en-GB"/>
        </w:rPr>
        <w:t>14</w:t>
      </w:r>
      <w:r w:rsidRPr="00616282">
        <w:rPr>
          <w:rFonts w:ascii="Calibri" w:hAnsi="Calibri" w:cs="Calibri"/>
          <w:b/>
          <w:bCs/>
          <w:color w:val="ED7D31" w:themeColor="accent2"/>
          <w:lang w:val="en-GB"/>
        </w:rPr>
        <w:fldChar w:fldCharType="end"/>
      </w:r>
      <w:r w:rsidRPr="00616282">
        <w:rPr>
          <w:rFonts w:ascii="Calibri" w:hAnsi="Calibri" w:cs="Calibri"/>
          <w:b/>
          <w:bCs/>
          <w:color w:val="ED7D31" w:themeColor="accent2"/>
          <w:lang w:val="en-GB"/>
        </w:rPr>
        <w:t xml:space="preserve">. </w:t>
      </w:r>
      <w:r w:rsidR="003B2AB0" w:rsidRPr="00616282">
        <w:rPr>
          <w:rFonts w:ascii="Calibri" w:hAnsi="Calibri" w:cs="Calibri"/>
          <w:b/>
          <w:bCs/>
          <w:color w:val="ED7D31" w:themeColor="accent2"/>
          <w:lang w:val="en-GB"/>
        </w:rPr>
        <w:t>Template for reporting</w:t>
      </w:r>
      <w:r w:rsidR="003B2AB0" w:rsidRPr="00616282" w:rsidDel="003B2AB0">
        <w:rPr>
          <w:rFonts w:ascii="Calibri" w:hAnsi="Calibri" w:cs="Calibri"/>
          <w:b/>
          <w:bCs/>
          <w:color w:val="ED7D31" w:themeColor="accent2"/>
          <w:lang w:val="en-GB"/>
        </w:rPr>
        <w:t xml:space="preserve"> </w:t>
      </w:r>
      <w:r w:rsidR="003B2AB0" w:rsidRPr="00616282">
        <w:rPr>
          <w:rFonts w:ascii="Calibri" w:hAnsi="Calibri" w:cs="Calibri"/>
          <w:b/>
          <w:bCs/>
          <w:color w:val="ED7D31" w:themeColor="accent2"/>
          <w:lang w:val="en-GB"/>
        </w:rPr>
        <w:t>o</w:t>
      </w:r>
      <w:r w:rsidRPr="00616282">
        <w:rPr>
          <w:rFonts w:ascii="Calibri" w:hAnsi="Calibri" w:cs="Calibri"/>
          <w:b/>
          <w:bCs/>
          <w:color w:val="ED7D31" w:themeColor="accent2"/>
          <w:lang w:val="en-GB"/>
        </w:rPr>
        <w:t>ptional alignment metrics</w:t>
      </w:r>
      <w:bookmarkEnd w:id="67"/>
      <w:r w:rsidRPr="00616282">
        <w:rPr>
          <w:rFonts w:ascii="Calibri" w:hAnsi="Calibri" w:cs="Calibri"/>
          <w:b/>
          <w:bCs/>
          <w:color w:val="ED7D31" w:themeColor="accent2"/>
          <w:lang w:val="en-GB"/>
        </w:rPr>
        <w:t xml:space="preserve"> </w:t>
      </w:r>
      <w:bookmarkEnd w:id="68"/>
    </w:p>
    <w:p w14:paraId="2F3FC4A4" w14:textId="77777777" w:rsidR="005E0A45" w:rsidRDefault="005E0A45" w:rsidP="00287E22">
      <w:pPr>
        <w:rPr>
          <w:rFonts w:ascii="Calibri" w:hAnsi="Calibri" w:cs="Calibri"/>
          <w:lang w:val="en-GB"/>
        </w:rPr>
      </w:pPr>
    </w:p>
    <w:p w14:paraId="4E6C2926" w14:textId="369776A1" w:rsidR="00352949" w:rsidRPr="00616282" w:rsidRDefault="00352949" w:rsidP="00287E22">
      <w:pPr>
        <w:rPr>
          <w:rFonts w:ascii="Calibri" w:hAnsi="Calibri" w:cs="Calibri"/>
          <w:lang w:val="en-GB"/>
        </w:rPr>
      </w:pPr>
      <w:r w:rsidRPr="00352949">
        <w:rPr>
          <w:rFonts w:ascii="Calibri" w:hAnsi="Calibri" w:cs="Calibri"/>
          <w:noProof/>
          <w:lang w:val="en-GB"/>
        </w:rPr>
        <w:drawing>
          <wp:inline distT="0" distB="0" distL="0" distR="0" wp14:anchorId="6BAEDBD9" wp14:editId="1D6AAB83">
            <wp:extent cx="5731510" cy="946785"/>
            <wp:effectExtent l="0" t="0" r="0" b="5715"/>
            <wp:docPr id="173291366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2913666" name=""/>
                    <pic:cNvPicPr/>
                  </pic:nvPicPr>
                  <pic:blipFill>
                    <a:blip r:embed="rId31"/>
                    <a:stretch>
                      <a:fillRect/>
                    </a:stretch>
                  </pic:blipFill>
                  <pic:spPr>
                    <a:xfrm>
                      <a:off x="0" y="0"/>
                      <a:ext cx="5731510" cy="946785"/>
                    </a:xfrm>
                    <a:prstGeom prst="rect">
                      <a:avLst/>
                    </a:prstGeom>
                  </pic:spPr>
                </pic:pic>
              </a:graphicData>
            </a:graphic>
          </wp:inline>
        </w:drawing>
      </w:r>
    </w:p>
    <w:p w14:paraId="24E1C90E" w14:textId="453DBA28" w:rsidR="00A74BD5" w:rsidRPr="00616282" w:rsidRDefault="00A74BD5" w:rsidP="00A74BD5">
      <w:pPr>
        <w:jc w:val="both"/>
        <w:rPr>
          <w:rFonts w:ascii="Calibri" w:hAnsi="Calibri" w:cs="Calibri"/>
          <w:sz w:val="20"/>
          <w:szCs w:val="20"/>
          <w:lang w:val="en-GB"/>
        </w:rPr>
      </w:pPr>
      <w:r w:rsidRPr="00616282">
        <w:rPr>
          <w:rFonts w:ascii="Calibri" w:hAnsi="Calibri" w:cs="Calibri"/>
          <w:b/>
          <w:bCs/>
          <w:sz w:val="20"/>
          <w:szCs w:val="20"/>
          <w:lang w:val="en-GB"/>
        </w:rPr>
        <w:t>Source</w:t>
      </w:r>
      <w:r w:rsidRPr="00616282">
        <w:rPr>
          <w:rFonts w:ascii="Calibri" w:hAnsi="Calibri" w:cs="Calibri"/>
          <w:sz w:val="20"/>
          <w:szCs w:val="20"/>
          <w:lang w:val="en-GB"/>
        </w:rPr>
        <w:t xml:space="preserve">: </w:t>
      </w:r>
      <w:r w:rsidR="00C807D2">
        <w:rPr>
          <w:rFonts w:ascii="Calibri" w:hAnsi="Calibri" w:cs="Calibri"/>
          <w:sz w:val="20"/>
          <w:szCs w:val="20"/>
          <w:lang w:val="en-GB"/>
        </w:rPr>
        <w:t>Adapted from the European Banking Authority. 2022. Final report draft Implementing Technical Standards (ITS) on prudential disclosures on ESG.</w:t>
      </w:r>
    </w:p>
    <w:p w14:paraId="30FDF905" w14:textId="77777777" w:rsidR="00A74BD5" w:rsidRPr="00616282" w:rsidRDefault="00A74BD5" w:rsidP="00287E22">
      <w:pPr>
        <w:rPr>
          <w:rFonts w:ascii="Calibri" w:hAnsi="Calibri" w:cs="Calibri"/>
          <w:lang w:val="en-GB"/>
        </w:rPr>
      </w:pPr>
    </w:p>
    <w:p w14:paraId="1ACD867F" w14:textId="5161CB00" w:rsidR="002F4A8A" w:rsidRPr="00616282" w:rsidRDefault="005E0A45" w:rsidP="00616282">
      <w:pPr>
        <w:jc w:val="both"/>
        <w:rPr>
          <w:rFonts w:ascii="Calibri" w:hAnsi="Calibri" w:cs="Calibri"/>
          <w:lang w:val="en-GB"/>
        </w:rPr>
      </w:pPr>
      <w:r w:rsidRPr="00616282">
        <w:rPr>
          <w:rFonts w:ascii="Calibri" w:hAnsi="Calibri" w:cs="Calibri"/>
          <w:lang w:val="en-GB"/>
        </w:rPr>
        <w:t>For alignment,</w:t>
      </w:r>
      <w:r w:rsidR="002B5A68" w:rsidRPr="00616282">
        <w:rPr>
          <w:rFonts w:ascii="Calibri" w:hAnsi="Calibri" w:cs="Calibri"/>
          <w:lang w:val="en-GB"/>
        </w:rPr>
        <w:t xml:space="preserve"> banks could use the </w:t>
      </w:r>
      <w:r w:rsidR="004F49FB" w:rsidRPr="00616282">
        <w:rPr>
          <w:rFonts w:ascii="Calibri" w:hAnsi="Calibri" w:cs="Calibri"/>
          <w:lang w:val="en-GB"/>
        </w:rPr>
        <w:t xml:space="preserve">LT-LEDS </w:t>
      </w:r>
      <w:r w:rsidR="00E42CF4" w:rsidRPr="00616282">
        <w:rPr>
          <w:rFonts w:ascii="Calibri" w:hAnsi="Calibri" w:cs="Calibri"/>
          <w:lang w:val="en-GB"/>
        </w:rPr>
        <w:t>as</w:t>
      </w:r>
      <w:r w:rsidR="004F49FB" w:rsidRPr="00616282">
        <w:rPr>
          <w:rFonts w:ascii="Calibri" w:hAnsi="Calibri" w:cs="Calibri"/>
          <w:lang w:val="en-GB"/>
        </w:rPr>
        <w:t xml:space="preserve"> benchmarks</w:t>
      </w:r>
      <w:r w:rsidR="00E42CF4" w:rsidRPr="00616282">
        <w:rPr>
          <w:rFonts w:ascii="Calibri" w:hAnsi="Calibri" w:cs="Calibri"/>
          <w:lang w:val="en-GB"/>
        </w:rPr>
        <w:t xml:space="preserve">. Banks could use the LT-LEDs to derive </w:t>
      </w:r>
      <w:r w:rsidR="004F49FB" w:rsidRPr="00616282">
        <w:rPr>
          <w:rFonts w:ascii="Calibri" w:hAnsi="Calibri" w:cs="Calibri"/>
          <w:lang w:val="en-GB"/>
        </w:rPr>
        <w:t xml:space="preserve">carbon intensities for different sectors </w:t>
      </w:r>
      <w:r w:rsidR="00E42CF4" w:rsidRPr="00616282">
        <w:rPr>
          <w:rFonts w:ascii="Calibri" w:hAnsi="Calibri" w:cs="Calibri"/>
          <w:lang w:val="en-GB"/>
        </w:rPr>
        <w:t>and</w:t>
      </w:r>
      <w:r w:rsidR="004F49FB" w:rsidRPr="00616282">
        <w:rPr>
          <w:rFonts w:ascii="Calibri" w:hAnsi="Calibri" w:cs="Calibri"/>
          <w:lang w:val="en-GB"/>
        </w:rPr>
        <w:t xml:space="preserve"> use </w:t>
      </w:r>
      <w:r w:rsidR="00E42CF4" w:rsidRPr="00616282">
        <w:rPr>
          <w:rFonts w:ascii="Calibri" w:hAnsi="Calibri" w:cs="Calibri"/>
          <w:lang w:val="en-GB"/>
        </w:rPr>
        <w:t>these to</w:t>
      </w:r>
      <w:r w:rsidR="004F49FB" w:rsidRPr="00616282">
        <w:rPr>
          <w:rFonts w:ascii="Calibri" w:hAnsi="Calibri" w:cs="Calibri"/>
          <w:lang w:val="en-GB"/>
        </w:rPr>
        <w:t xml:space="preserve"> steer their portfolios to be aligned with low-carbon economy in Kenya.</w:t>
      </w:r>
      <w:r w:rsidR="002F4A8A" w:rsidRPr="00616282">
        <w:rPr>
          <w:rFonts w:ascii="Calibri" w:hAnsi="Calibri" w:cs="Calibri"/>
          <w:lang w:val="en-GB"/>
        </w:rPr>
        <w:t xml:space="preserve"> </w:t>
      </w:r>
      <w:r w:rsidR="00AE512D" w:rsidRPr="00616282">
        <w:rPr>
          <w:rFonts w:ascii="Calibri" w:hAnsi="Calibri" w:cs="Calibri"/>
          <w:lang w:val="en-GB"/>
        </w:rPr>
        <w:t>Subsequently, these targets can be translated into</w:t>
      </w:r>
      <w:r w:rsidR="002F4A8A" w:rsidRPr="00616282">
        <w:rPr>
          <w:rFonts w:ascii="Calibri" w:hAnsi="Calibri" w:cs="Calibri"/>
          <w:lang w:val="en-GB"/>
        </w:rPr>
        <w:t xml:space="preserve"> </w:t>
      </w:r>
      <w:r w:rsidR="002F4A8A" w:rsidRPr="00616282">
        <w:rPr>
          <w:rFonts w:ascii="Calibri" w:hAnsi="Calibri" w:cs="Calibri"/>
          <w:b/>
          <w:bCs/>
          <w:color w:val="4472C4" w:themeColor="accent1"/>
          <w:lang w:val="en-GB"/>
        </w:rPr>
        <w:t xml:space="preserve">Key </w:t>
      </w:r>
      <w:r w:rsidR="00AE512D" w:rsidRPr="00616282">
        <w:rPr>
          <w:rFonts w:ascii="Calibri" w:hAnsi="Calibri" w:cs="Calibri"/>
          <w:b/>
          <w:bCs/>
          <w:color w:val="4472C4" w:themeColor="accent1"/>
          <w:lang w:val="en-GB"/>
        </w:rPr>
        <w:t xml:space="preserve">Climate </w:t>
      </w:r>
      <w:r w:rsidR="002F4A8A" w:rsidRPr="00616282">
        <w:rPr>
          <w:rFonts w:ascii="Calibri" w:hAnsi="Calibri" w:cs="Calibri"/>
          <w:b/>
          <w:bCs/>
          <w:color w:val="4472C4" w:themeColor="accent1"/>
          <w:lang w:val="en-GB"/>
        </w:rPr>
        <w:t>Risk Indicators (K</w:t>
      </w:r>
      <w:r w:rsidR="00AE512D" w:rsidRPr="00616282">
        <w:rPr>
          <w:rFonts w:ascii="Calibri" w:hAnsi="Calibri" w:cs="Calibri"/>
          <w:b/>
          <w:bCs/>
          <w:color w:val="4472C4" w:themeColor="accent1"/>
          <w:lang w:val="en-GB"/>
        </w:rPr>
        <w:t>C</w:t>
      </w:r>
      <w:r w:rsidR="002F4A8A" w:rsidRPr="00616282">
        <w:rPr>
          <w:rFonts w:ascii="Calibri" w:hAnsi="Calibri" w:cs="Calibri"/>
          <w:b/>
          <w:bCs/>
          <w:color w:val="4472C4" w:themeColor="accent1"/>
          <w:lang w:val="en-GB"/>
        </w:rPr>
        <w:t>RIs)</w:t>
      </w:r>
      <w:r w:rsidR="002F4A8A" w:rsidRPr="00616282">
        <w:rPr>
          <w:rFonts w:ascii="Calibri" w:hAnsi="Calibri" w:cs="Calibri"/>
          <w:lang w:val="en-GB"/>
        </w:rPr>
        <w:t>.</w:t>
      </w:r>
      <w:r w:rsidR="002F4A8A" w:rsidRPr="00616282" w:rsidDel="0047124E">
        <w:rPr>
          <w:rFonts w:ascii="Calibri" w:hAnsi="Calibri" w:cs="Calibri"/>
          <w:lang w:val="en-GB"/>
        </w:rPr>
        <w:t xml:space="preserve"> </w:t>
      </w:r>
      <w:r w:rsidR="002F4A8A" w:rsidRPr="00616282">
        <w:rPr>
          <w:rFonts w:ascii="Calibri" w:hAnsi="Calibri" w:cs="Calibri"/>
          <w:lang w:val="en-GB"/>
        </w:rPr>
        <w:t>The K</w:t>
      </w:r>
      <w:r w:rsidR="00B7558A">
        <w:rPr>
          <w:rFonts w:ascii="Calibri" w:hAnsi="Calibri" w:cs="Calibri"/>
          <w:lang w:val="en-GB"/>
        </w:rPr>
        <w:t>C</w:t>
      </w:r>
      <w:r w:rsidR="002F4A8A" w:rsidRPr="00616282">
        <w:rPr>
          <w:rFonts w:ascii="Calibri" w:hAnsi="Calibri" w:cs="Calibri"/>
          <w:lang w:val="en-GB"/>
        </w:rPr>
        <w:t xml:space="preserve">RIs could track </w:t>
      </w:r>
      <w:r w:rsidR="006F6235" w:rsidRPr="00616282">
        <w:rPr>
          <w:rFonts w:ascii="Calibri" w:hAnsi="Calibri" w:cs="Calibri"/>
          <w:lang w:val="en-GB"/>
        </w:rPr>
        <w:t xml:space="preserve">progress towards </w:t>
      </w:r>
      <w:r w:rsidR="002F4A8A" w:rsidRPr="00616282">
        <w:rPr>
          <w:rFonts w:ascii="Calibri" w:hAnsi="Calibri" w:cs="Calibri"/>
          <w:lang w:val="en-GB"/>
        </w:rPr>
        <w:t xml:space="preserve">alignment </w:t>
      </w:r>
      <w:r w:rsidR="006F6235" w:rsidRPr="00616282">
        <w:rPr>
          <w:rFonts w:ascii="Calibri" w:hAnsi="Calibri" w:cs="Calibri"/>
          <w:lang w:val="en-GB"/>
        </w:rPr>
        <w:t>withi</w:t>
      </w:r>
      <w:r w:rsidR="002F4A8A" w:rsidRPr="00616282">
        <w:rPr>
          <w:rFonts w:ascii="Calibri" w:hAnsi="Calibri" w:cs="Calibri"/>
          <w:lang w:val="en-GB"/>
        </w:rPr>
        <w:t xml:space="preserve">n the bank’s portfolios. </w:t>
      </w:r>
    </w:p>
    <w:p w14:paraId="304B53C5" w14:textId="77777777" w:rsidR="002F4A8A" w:rsidRPr="00616282" w:rsidRDefault="002F4A8A" w:rsidP="00B97958">
      <w:pPr>
        <w:rPr>
          <w:rFonts w:ascii="Calibri" w:hAnsi="Calibri" w:cs="Calibri"/>
          <w:lang w:val="en-GB"/>
        </w:rPr>
      </w:pPr>
    </w:p>
    <w:tbl>
      <w:tblPr>
        <w:tblStyle w:val="TableGrid"/>
        <w:tblpPr w:leftFromText="180" w:rightFromText="180" w:vertAnchor="text" w:horzAnchor="margin" w:tblpY="10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508"/>
        <w:gridCol w:w="4508"/>
      </w:tblGrid>
      <w:tr w:rsidR="002F4A8A" w:rsidRPr="004725EE" w14:paraId="3FA2D2EE" w14:textId="77777777" w:rsidTr="0061766C">
        <w:tc>
          <w:tcPr>
            <w:tcW w:w="4508" w:type="dxa"/>
          </w:tcPr>
          <w:p w14:paraId="4562A290" w14:textId="79E498EF" w:rsidR="002F4A8A" w:rsidRPr="00616282" w:rsidRDefault="00B44809" w:rsidP="00616282">
            <w:pPr>
              <w:jc w:val="center"/>
              <w:rPr>
                <w:rFonts w:ascii="Calibri" w:hAnsi="Calibri" w:cs="Calibri"/>
                <w:b/>
                <w:bCs/>
                <w:color w:val="ED7D31" w:themeColor="accent2"/>
                <w:lang w:val="en-GB"/>
              </w:rPr>
            </w:pPr>
            <w:bookmarkStart w:id="69" w:name="_Toc175223822"/>
            <w:r w:rsidRPr="00616282">
              <w:rPr>
                <w:rFonts w:ascii="Calibri" w:hAnsi="Calibri" w:cs="Calibri"/>
                <w:b/>
                <w:bCs/>
                <w:color w:val="ED7D31" w:themeColor="accent2"/>
                <w:lang w:val="en-GB"/>
              </w:rPr>
              <w:t xml:space="preserve">Figure </w:t>
            </w:r>
            <w:r w:rsidR="00446278" w:rsidRPr="00616282">
              <w:rPr>
                <w:rFonts w:ascii="Calibri" w:hAnsi="Calibri" w:cs="Calibri"/>
                <w:b/>
                <w:bCs/>
                <w:color w:val="ED7D31" w:themeColor="accent2"/>
                <w:lang w:val="en-GB"/>
              </w:rPr>
              <w:fldChar w:fldCharType="begin"/>
            </w:r>
            <w:r w:rsidR="00446278" w:rsidRPr="00616282">
              <w:rPr>
                <w:rFonts w:ascii="Calibri" w:hAnsi="Calibri" w:cs="Calibri"/>
                <w:b/>
                <w:bCs/>
                <w:color w:val="ED7D31" w:themeColor="accent2"/>
                <w:lang w:val="en-GB"/>
              </w:rPr>
              <w:instrText xml:space="preserve"> SEQ Figure \* ARABIC </w:instrText>
            </w:r>
            <w:r w:rsidR="00446278" w:rsidRPr="00616282">
              <w:rPr>
                <w:rFonts w:ascii="Calibri" w:hAnsi="Calibri" w:cs="Calibri"/>
                <w:b/>
                <w:bCs/>
                <w:color w:val="ED7D31" w:themeColor="accent2"/>
                <w:lang w:val="en-GB"/>
              </w:rPr>
              <w:fldChar w:fldCharType="separate"/>
            </w:r>
            <w:r w:rsidR="0096670A">
              <w:rPr>
                <w:rFonts w:ascii="Calibri" w:hAnsi="Calibri" w:cs="Calibri"/>
                <w:b/>
                <w:bCs/>
                <w:noProof/>
                <w:color w:val="ED7D31" w:themeColor="accent2"/>
                <w:lang w:val="en-GB"/>
              </w:rPr>
              <w:t>7</w:t>
            </w:r>
            <w:r w:rsidR="00446278" w:rsidRPr="00616282">
              <w:rPr>
                <w:rFonts w:ascii="Calibri" w:hAnsi="Calibri" w:cs="Calibri"/>
                <w:b/>
                <w:bCs/>
                <w:color w:val="ED7D31" w:themeColor="accent2"/>
                <w:lang w:val="en-GB"/>
              </w:rPr>
              <w:fldChar w:fldCharType="end"/>
            </w:r>
            <w:r w:rsidRPr="00616282">
              <w:rPr>
                <w:rFonts w:ascii="Calibri" w:hAnsi="Calibri" w:cs="Calibri"/>
                <w:b/>
                <w:bCs/>
                <w:color w:val="ED7D31" w:themeColor="accent2"/>
                <w:lang w:val="en-GB"/>
              </w:rPr>
              <w:t>. ING Power generation decarbonization pathway</w:t>
            </w:r>
            <w:bookmarkEnd w:id="69"/>
          </w:p>
        </w:tc>
        <w:tc>
          <w:tcPr>
            <w:tcW w:w="4508" w:type="dxa"/>
          </w:tcPr>
          <w:p w14:paraId="74035A0E" w14:textId="68ACC074" w:rsidR="002F4A8A" w:rsidRPr="00616282" w:rsidRDefault="00B44809" w:rsidP="00616282">
            <w:pPr>
              <w:jc w:val="center"/>
              <w:rPr>
                <w:rFonts w:ascii="Calibri" w:hAnsi="Calibri" w:cs="Calibri"/>
                <w:b/>
                <w:bCs/>
                <w:color w:val="ED7D31" w:themeColor="accent2"/>
                <w:lang w:val="en-GB"/>
              </w:rPr>
            </w:pPr>
            <w:bookmarkStart w:id="70" w:name="_Toc175223823"/>
            <w:r w:rsidRPr="00616282">
              <w:rPr>
                <w:rFonts w:ascii="Calibri" w:hAnsi="Calibri" w:cs="Calibri"/>
                <w:b/>
                <w:bCs/>
                <w:color w:val="ED7D31" w:themeColor="accent2"/>
                <w:lang w:val="en-GB"/>
              </w:rPr>
              <w:t xml:space="preserve">Figure </w:t>
            </w:r>
            <w:r w:rsidR="00446278" w:rsidRPr="00616282">
              <w:rPr>
                <w:rFonts w:ascii="Calibri" w:hAnsi="Calibri" w:cs="Calibri"/>
                <w:b/>
                <w:bCs/>
                <w:color w:val="ED7D31" w:themeColor="accent2"/>
                <w:lang w:val="en-GB"/>
              </w:rPr>
              <w:fldChar w:fldCharType="begin"/>
            </w:r>
            <w:r w:rsidR="00446278" w:rsidRPr="00616282">
              <w:rPr>
                <w:rFonts w:ascii="Calibri" w:hAnsi="Calibri" w:cs="Calibri"/>
                <w:b/>
                <w:bCs/>
                <w:color w:val="ED7D31" w:themeColor="accent2"/>
                <w:lang w:val="en-GB"/>
              </w:rPr>
              <w:instrText xml:space="preserve"> SEQ Figure \* ARABIC </w:instrText>
            </w:r>
            <w:r w:rsidR="00446278" w:rsidRPr="00616282">
              <w:rPr>
                <w:rFonts w:ascii="Calibri" w:hAnsi="Calibri" w:cs="Calibri"/>
                <w:b/>
                <w:bCs/>
                <w:color w:val="ED7D31" w:themeColor="accent2"/>
                <w:lang w:val="en-GB"/>
              </w:rPr>
              <w:fldChar w:fldCharType="separate"/>
            </w:r>
            <w:r w:rsidR="0096670A">
              <w:rPr>
                <w:rFonts w:ascii="Calibri" w:hAnsi="Calibri" w:cs="Calibri"/>
                <w:b/>
                <w:bCs/>
                <w:noProof/>
                <w:color w:val="ED7D31" w:themeColor="accent2"/>
                <w:lang w:val="en-GB"/>
              </w:rPr>
              <w:t>8</w:t>
            </w:r>
            <w:r w:rsidR="00446278" w:rsidRPr="00616282">
              <w:rPr>
                <w:rFonts w:ascii="Calibri" w:hAnsi="Calibri" w:cs="Calibri"/>
                <w:b/>
                <w:bCs/>
                <w:color w:val="ED7D31" w:themeColor="accent2"/>
                <w:lang w:val="en-GB"/>
              </w:rPr>
              <w:fldChar w:fldCharType="end"/>
            </w:r>
            <w:r w:rsidRPr="00616282">
              <w:rPr>
                <w:rFonts w:ascii="Calibri" w:hAnsi="Calibri" w:cs="Calibri"/>
                <w:b/>
                <w:bCs/>
                <w:color w:val="ED7D31" w:themeColor="accent2"/>
                <w:lang w:val="en-GB"/>
              </w:rPr>
              <w:t>. ING Cement decarbonization pathway</w:t>
            </w:r>
            <w:bookmarkEnd w:id="70"/>
          </w:p>
        </w:tc>
      </w:tr>
      <w:tr w:rsidR="002F4A8A" w:rsidRPr="004725EE" w14:paraId="07D9629F" w14:textId="77777777" w:rsidTr="0061766C">
        <w:tc>
          <w:tcPr>
            <w:tcW w:w="4508" w:type="dxa"/>
          </w:tcPr>
          <w:p w14:paraId="6482DA70" w14:textId="593F332F" w:rsidR="002F4A8A" w:rsidRPr="00616282" w:rsidRDefault="002F4A8A" w:rsidP="00B8566F">
            <w:pPr>
              <w:pStyle w:val="Caption"/>
              <w:rPr>
                <w:rFonts w:ascii="Calibri" w:hAnsi="Calibri" w:cs="Calibri"/>
                <w:b/>
                <w:i w:val="0"/>
                <w:iCs w:val="0"/>
                <w:color w:val="ED7D31" w:themeColor="accent2"/>
                <w:sz w:val="24"/>
                <w:szCs w:val="24"/>
                <w:lang w:val="en-GB"/>
              </w:rPr>
            </w:pPr>
            <w:r w:rsidRPr="00616282">
              <w:rPr>
                <w:rFonts w:ascii="Calibri" w:hAnsi="Calibri" w:cs="Calibri"/>
                <w:noProof/>
                <w:sz w:val="24"/>
                <w:szCs w:val="24"/>
                <w:lang w:val="en-GB"/>
                <w14:ligatures w14:val="standardContextual"/>
              </w:rPr>
              <w:drawing>
                <wp:inline distT="0" distB="0" distL="0" distR="0" wp14:anchorId="689B6744" wp14:editId="396A9476">
                  <wp:extent cx="2708031" cy="1333654"/>
                  <wp:effectExtent l="0" t="0" r="0" b="0"/>
                  <wp:docPr id="1232266702" name="Picture 2" descr="A graph of a graph with numbers and line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2266702" name="Picture 2" descr="A graph of a graph with numbers and lines&#10;&#10;Description automatically generated with medium confidence"/>
                          <pic:cNvPicPr/>
                        </pic:nvPicPr>
                        <pic:blipFill>
                          <a:blip r:embed="rId32">
                            <a:extLst>
                              <a:ext uri="{28A0092B-C50C-407E-A947-70E740481C1C}">
                                <a14:useLocalDpi xmlns:a14="http://schemas.microsoft.com/office/drawing/2010/main" val="0"/>
                              </a:ext>
                            </a:extLst>
                          </a:blip>
                          <a:stretch>
                            <a:fillRect/>
                          </a:stretch>
                        </pic:blipFill>
                        <pic:spPr>
                          <a:xfrm>
                            <a:off x="0" y="0"/>
                            <a:ext cx="2735380" cy="1347123"/>
                          </a:xfrm>
                          <a:prstGeom prst="rect">
                            <a:avLst/>
                          </a:prstGeom>
                        </pic:spPr>
                      </pic:pic>
                    </a:graphicData>
                  </a:graphic>
                </wp:inline>
              </w:drawing>
            </w:r>
          </w:p>
        </w:tc>
        <w:tc>
          <w:tcPr>
            <w:tcW w:w="4508" w:type="dxa"/>
          </w:tcPr>
          <w:p w14:paraId="0B02DCB2" w14:textId="4C8962A3" w:rsidR="002F4A8A" w:rsidRPr="00616282" w:rsidRDefault="002F4A8A" w:rsidP="00B8566F">
            <w:pPr>
              <w:pStyle w:val="Caption"/>
              <w:rPr>
                <w:rFonts w:ascii="Calibri" w:hAnsi="Calibri" w:cs="Calibri"/>
                <w:b/>
                <w:i w:val="0"/>
                <w:iCs w:val="0"/>
                <w:color w:val="ED7D31" w:themeColor="accent2"/>
                <w:sz w:val="24"/>
                <w:szCs w:val="24"/>
                <w:lang w:val="en-GB"/>
              </w:rPr>
            </w:pPr>
            <w:r w:rsidRPr="00616282">
              <w:rPr>
                <w:rFonts w:ascii="Calibri" w:hAnsi="Calibri" w:cs="Calibri"/>
                <w:b/>
                <w:i w:val="0"/>
                <w:iCs w:val="0"/>
                <w:noProof/>
                <w:color w:val="ED7D31" w:themeColor="accent2"/>
                <w:sz w:val="24"/>
                <w:szCs w:val="24"/>
                <w:lang w:val="en-GB"/>
                <w14:ligatures w14:val="standardContextual"/>
              </w:rPr>
              <w:drawing>
                <wp:inline distT="0" distB="0" distL="0" distR="0" wp14:anchorId="4D99D6B7" wp14:editId="40862894">
                  <wp:extent cx="2725420" cy="1336675"/>
                  <wp:effectExtent l="0" t="0" r="5080" b="0"/>
                  <wp:docPr id="2089741378" name="Picture 3" descr="A graph with numbers and a 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741378" name="Picture 3" descr="A graph with numbers and a line&#10;&#10;Description automatically generated"/>
                          <pic:cNvPicPr/>
                        </pic:nvPicPr>
                        <pic:blipFill>
                          <a:blip r:embed="rId33">
                            <a:extLst>
                              <a:ext uri="{28A0092B-C50C-407E-A947-70E740481C1C}">
                                <a14:useLocalDpi xmlns:a14="http://schemas.microsoft.com/office/drawing/2010/main" val="0"/>
                              </a:ext>
                            </a:extLst>
                          </a:blip>
                          <a:stretch>
                            <a:fillRect/>
                          </a:stretch>
                        </pic:blipFill>
                        <pic:spPr>
                          <a:xfrm>
                            <a:off x="0" y="0"/>
                            <a:ext cx="2725420" cy="1336675"/>
                          </a:xfrm>
                          <a:prstGeom prst="rect">
                            <a:avLst/>
                          </a:prstGeom>
                        </pic:spPr>
                      </pic:pic>
                    </a:graphicData>
                  </a:graphic>
                </wp:inline>
              </w:drawing>
            </w:r>
          </w:p>
        </w:tc>
      </w:tr>
      <w:tr w:rsidR="002F4A8A" w:rsidRPr="004725EE" w14:paraId="1001D523" w14:textId="77777777" w:rsidTr="0061766C">
        <w:tc>
          <w:tcPr>
            <w:tcW w:w="4508" w:type="dxa"/>
          </w:tcPr>
          <w:p w14:paraId="39A92BF4" w14:textId="491BDE4F" w:rsidR="002F4A8A" w:rsidRPr="00616282" w:rsidRDefault="002F4A8A" w:rsidP="00B8566F">
            <w:pPr>
              <w:jc w:val="center"/>
              <w:rPr>
                <w:rFonts w:ascii="Calibri" w:hAnsi="Calibri" w:cs="Calibri"/>
                <w:sz w:val="20"/>
                <w:szCs w:val="20"/>
              </w:rPr>
            </w:pPr>
            <w:r w:rsidRPr="00616282">
              <w:rPr>
                <w:rFonts w:ascii="Calibri" w:hAnsi="Calibri" w:cs="Calibri"/>
                <w:b/>
                <w:bCs/>
                <w:sz w:val="20"/>
                <w:szCs w:val="20"/>
              </w:rPr>
              <w:t>Source</w:t>
            </w:r>
            <w:r w:rsidRPr="00616282">
              <w:rPr>
                <w:rFonts w:ascii="Calibri" w:hAnsi="Calibri" w:cs="Calibri"/>
                <w:sz w:val="20"/>
                <w:szCs w:val="20"/>
              </w:rPr>
              <w:t xml:space="preserve">: </w:t>
            </w:r>
            <w:r w:rsidR="00B44809" w:rsidRPr="00616282">
              <w:rPr>
                <w:rFonts w:ascii="Calibri" w:hAnsi="Calibri" w:cs="Calibri"/>
                <w:sz w:val="20"/>
                <w:szCs w:val="20"/>
              </w:rPr>
              <w:t>ING</w:t>
            </w:r>
            <w:r w:rsidRPr="00616282">
              <w:rPr>
                <w:rFonts w:ascii="Calibri" w:hAnsi="Calibri" w:cs="Calibri"/>
                <w:sz w:val="20"/>
                <w:szCs w:val="20"/>
              </w:rPr>
              <w:t>. 202</w:t>
            </w:r>
            <w:r w:rsidR="00B44809" w:rsidRPr="00616282">
              <w:rPr>
                <w:rFonts w:ascii="Calibri" w:hAnsi="Calibri" w:cs="Calibri"/>
                <w:sz w:val="20"/>
                <w:szCs w:val="20"/>
              </w:rPr>
              <w:t>1</w:t>
            </w:r>
            <w:r w:rsidRPr="00616282">
              <w:rPr>
                <w:rFonts w:ascii="Calibri" w:hAnsi="Calibri" w:cs="Calibri"/>
                <w:sz w:val="20"/>
                <w:szCs w:val="20"/>
              </w:rPr>
              <w:t xml:space="preserve">. </w:t>
            </w:r>
            <w:r w:rsidR="00B44809" w:rsidRPr="00616282">
              <w:rPr>
                <w:rFonts w:ascii="Calibri" w:hAnsi="Calibri" w:cs="Calibri"/>
                <w:sz w:val="20"/>
                <w:szCs w:val="20"/>
              </w:rPr>
              <w:t>Climate</w:t>
            </w:r>
            <w:r w:rsidRPr="00616282">
              <w:rPr>
                <w:rFonts w:ascii="Calibri" w:hAnsi="Calibri" w:cs="Calibri"/>
                <w:sz w:val="20"/>
                <w:szCs w:val="20"/>
              </w:rPr>
              <w:t xml:space="preserve"> Report.</w:t>
            </w:r>
          </w:p>
        </w:tc>
        <w:tc>
          <w:tcPr>
            <w:tcW w:w="4508" w:type="dxa"/>
          </w:tcPr>
          <w:p w14:paraId="2A080057" w14:textId="00CB2E96" w:rsidR="002F4A8A" w:rsidRPr="00616282" w:rsidRDefault="00B44809" w:rsidP="00B8566F">
            <w:pPr>
              <w:jc w:val="center"/>
              <w:rPr>
                <w:rFonts w:ascii="Calibri" w:hAnsi="Calibri" w:cs="Calibri"/>
                <w:sz w:val="20"/>
                <w:szCs w:val="20"/>
              </w:rPr>
            </w:pPr>
            <w:r w:rsidRPr="00616282">
              <w:rPr>
                <w:rFonts w:ascii="Calibri" w:hAnsi="Calibri" w:cs="Calibri"/>
                <w:b/>
                <w:bCs/>
                <w:sz w:val="20"/>
                <w:szCs w:val="20"/>
              </w:rPr>
              <w:t>Source</w:t>
            </w:r>
            <w:r w:rsidRPr="00616282">
              <w:rPr>
                <w:rFonts w:ascii="Calibri" w:hAnsi="Calibri" w:cs="Calibri"/>
                <w:sz w:val="20"/>
                <w:szCs w:val="20"/>
              </w:rPr>
              <w:t>: ING. 2021. Climate Report.</w:t>
            </w:r>
          </w:p>
        </w:tc>
      </w:tr>
    </w:tbl>
    <w:p w14:paraId="66CF4D95" w14:textId="77777777" w:rsidR="00287E22" w:rsidRPr="00616282" w:rsidRDefault="00287E22" w:rsidP="00FB0DA0">
      <w:pPr>
        <w:outlineLvl w:val="0"/>
        <w:rPr>
          <w:rFonts w:ascii="Calibri" w:hAnsi="Calibri" w:cs="Calibri"/>
          <w:lang w:val="en-GB"/>
        </w:rPr>
      </w:pPr>
    </w:p>
    <w:p w14:paraId="52037C4B" w14:textId="3089814B" w:rsidR="004F49FB" w:rsidRPr="00616282" w:rsidRDefault="00E02B7D" w:rsidP="00616282">
      <w:pPr>
        <w:jc w:val="both"/>
        <w:rPr>
          <w:rFonts w:ascii="Calibri" w:hAnsi="Calibri" w:cs="Calibri"/>
        </w:rPr>
      </w:pPr>
      <w:r w:rsidRPr="00616282">
        <w:rPr>
          <w:rFonts w:ascii="Calibri" w:hAnsi="Calibri" w:cs="Calibri"/>
        </w:rPr>
        <w:t xml:space="preserve">Banks should </w:t>
      </w:r>
      <w:r w:rsidRPr="00616282">
        <w:rPr>
          <w:rFonts w:ascii="Calibri" w:hAnsi="Calibri" w:cs="Calibri"/>
          <w:b/>
          <w:bCs/>
          <w:color w:val="4472C4" w:themeColor="accent1"/>
        </w:rPr>
        <w:t>d</w:t>
      </w:r>
      <w:r w:rsidR="00287E22" w:rsidRPr="00616282">
        <w:rPr>
          <w:rFonts w:ascii="Calibri" w:hAnsi="Calibri" w:cs="Calibri"/>
          <w:b/>
          <w:bCs/>
          <w:color w:val="4472C4" w:themeColor="accent1"/>
        </w:rPr>
        <w:t>eploy appropriate risk management tools</w:t>
      </w:r>
      <w:r w:rsidR="00287E22" w:rsidRPr="00616282">
        <w:rPr>
          <w:rFonts w:ascii="Calibri" w:hAnsi="Calibri" w:cs="Calibri"/>
          <w:color w:val="4472C4" w:themeColor="accent1"/>
        </w:rPr>
        <w:t xml:space="preserve"> </w:t>
      </w:r>
      <w:r w:rsidR="00287E22" w:rsidRPr="00616282">
        <w:rPr>
          <w:rFonts w:ascii="Calibri" w:hAnsi="Calibri" w:cs="Calibri"/>
        </w:rPr>
        <w:t xml:space="preserve">to integrate climate considerations into </w:t>
      </w:r>
      <w:r w:rsidR="00720A5C" w:rsidRPr="00616282">
        <w:rPr>
          <w:rFonts w:ascii="Calibri" w:hAnsi="Calibri" w:cs="Calibri"/>
        </w:rPr>
        <w:t>their</w:t>
      </w:r>
      <w:r w:rsidR="00287E22" w:rsidRPr="00616282">
        <w:rPr>
          <w:rFonts w:ascii="Calibri" w:hAnsi="Calibri" w:cs="Calibri"/>
        </w:rPr>
        <w:t xml:space="preserve"> existing strategies. This may include conducting climate-adjusted due diligence</w:t>
      </w:r>
      <w:r w:rsidR="001360C4" w:rsidRPr="00616282">
        <w:rPr>
          <w:rFonts w:ascii="Calibri" w:hAnsi="Calibri" w:cs="Calibri"/>
        </w:rPr>
        <w:t xml:space="preserve"> </w:t>
      </w:r>
      <w:r w:rsidR="00437EF9" w:rsidRPr="00616282">
        <w:rPr>
          <w:rFonts w:ascii="Calibri" w:hAnsi="Calibri" w:cs="Calibri"/>
        </w:rPr>
        <w:t>embedding</w:t>
      </w:r>
      <w:r w:rsidR="00287E22" w:rsidRPr="00616282">
        <w:rPr>
          <w:rFonts w:ascii="Calibri" w:hAnsi="Calibri" w:cs="Calibri"/>
        </w:rPr>
        <w:t xml:space="preserve"> climate</w:t>
      </w:r>
      <w:r w:rsidR="00437EF9" w:rsidRPr="00616282">
        <w:rPr>
          <w:rFonts w:ascii="Calibri" w:hAnsi="Calibri" w:cs="Calibri"/>
        </w:rPr>
        <w:t>-related</w:t>
      </w:r>
      <w:r w:rsidR="00287E22" w:rsidRPr="00616282">
        <w:rPr>
          <w:rFonts w:ascii="Calibri" w:hAnsi="Calibri" w:cs="Calibri"/>
        </w:rPr>
        <w:t xml:space="preserve"> questionnaires and </w:t>
      </w:r>
      <w:r w:rsidR="00437EF9" w:rsidRPr="00616282">
        <w:rPr>
          <w:rFonts w:ascii="Calibri" w:hAnsi="Calibri" w:cs="Calibri"/>
        </w:rPr>
        <w:t>scorecards and</w:t>
      </w:r>
      <w:r w:rsidR="00287E22" w:rsidRPr="00616282">
        <w:rPr>
          <w:rFonts w:ascii="Calibri" w:hAnsi="Calibri" w:cs="Calibri"/>
        </w:rPr>
        <w:t xml:space="preserve"> integrating climate tools into risk management processes.</w:t>
      </w:r>
    </w:p>
    <w:p w14:paraId="36EA5E60" w14:textId="77777777" w:rsidR="004F49FB" w:rsidRPr="00616282" w:rsidRDefault="004F49FB" w:rsidP="00287E22">
      <w:pPr>
        <w:rPr>
          <w:rFonts w:ascii="Calibri" w:hAnsi="Calibri" w:cs="Calibri"/>
        </w:rPr>
      </w:pPr>
    </w:p>
    <w:p w14:paraId="0D05218B" w14:textId="073CD1A2" w:rsidR="00D97DB6" w:rsidRPr="00616282" w:rsidRDefault="00437EF9" w:rsidP="00616282">
      <w:pPr>
        <w:jc w:val="both"/>
        <w:rPr>
          <w:rFonts w:ascii="Calibri" w:hAnsi="Calibri" w:cs="Calibri"/>
          <w:lang w:val="en-GB"/>
        </w:rPr>
      </w:pPr>
      <w:r w:rsidRPr="00616282">
        <w:rPr>
          <w:rFonts w:ascii="Calibri" w:hAnsi="Calibri" w:cs="Calibri"/>
        </w:rPr>
        <w:t xml:space="preserve">Critically, </w:t>
      </w:r>
      <w:r w:rsidRPr="00616282">
        <w:rPr>
          <w:rFonts w:ascii="Calibri" w:hAnsi="Calibri" w:cs="Calibri"/>
          <w:b/>
          <w:bCs/>
          <w:color w:val="4472C4" w:themeColor="accent1"/>
        </w:rPr>
        <w:t>engagement with clients</w:t>
      </w:r>
      <w:r w:rsidR="00287E22" w:rsidRPr="00616282">
        <w:rPr>
          <w:rFonts w:ascii="Calibri" w:hAnsi="Calibri" w:cs="Calibri"/>
        </w:rPr>
        <w:t xml:space="preserve"> </w:t>
      </w:r>
      <w:r w:rsidRPr="00616282">
        <w:rPr>
          <w:rFonts w:ascii="Calibri" w:hAnsi="Calibri" w:cs="Calibri"/>
        </w:rPr>
        <w:t xml:space="preserve">should be emphasized to support clients in </w:t>
      </w:r>
      <w:r w:rsidR="00287E22" w:rsidRPr="00616282">
        <w:rPr>
          <w:rFonts w:ascii="Calibri" w:hAnsi="Calibri" w:cs="Calibri"/>
        </w:rPr>
        <w:t>understand</w:t>
      </w:r>
      <w:r w:rsidRPr="00616282">
        <w:rPr>
          <w:rFonts w:ascii="Calibri" w:hAnsi="Calibri" w:cs="Calibri"/>
        </w:rPr>
        <w:t>ing</w:t>
      </w:r>
      <w:r w:rsidR="00287E22" w:rsidRPr="00616282">
        <w:rPr>
          <w:rFonts w:ascii="Calibri" w:hAnsi="Calibri" w:cs="Calibri"/>
        </w:rPr>
        <w:t xml:space="preserve"> their exposure to climate risks and help them develop </w:t>
      </w:r>
      <w:r w:rsidR="00AC015F" w:rsidRPr="00616282">
        <w:rPr>
          <w:rFonts w:ascii="Calibri" w:hAnsi="Calibri" w:cs="Calibri"/>
        </w:rPr>
        <w:t>their</w:t>
      </w:r>
      <w:r w:rsidRPr="00616282">
        <w:rPr>
          <w:rFonts w:ascii="Calibri" w:hAnsi="Calibri" w:cs="Calibri"/>
        </w:rPr>
        <w:t xml:space="preserve"> own</w:t>
      </w:r>
      <w:r w:rsidR="00AC015F" w:rsidRPr="00616282">
        <w:rPr>
          <w:rFonts w:ascii="Calibri" w:hAnsi="Calibri" w:cs="Calibri"/>
        </w:rPr>
        <w:t xml:space="preserve"> </w:t>
      </w:r>
      <w:r w:rsidR="00287E22" w:rsidRPr="00616282">
        <w:rPr>
          <w:rFonts w:ascii="Calibri" w:hAnsi="Calibri" w:cs="Calibri"/>
        </w:rPr>
        <w:t xml:space="preserve">climate transition plans. </w:t>
      </w:r>
      <w:r w:rsidR="00AC015F" w:rsidRPr="00616282">
        <w:rPr>
          <w:rFonts w:ascii="Calibri" w:hAnsi="Calibri" w:cs="Calibri"/>
        </w:rPr>
        <w:t>This could be achieved throug</w:t>
      </w:r>
      <w:r w:rsidR="00A81BD1" w:rsidRPr="00616282">
        <w:rPr>
          <w:rFonts w:ascii="Calibri" w:hAnsi="Calibri" w:cs="Calibri"/>
        </w:rPr>
        <w:t>h</w:t>
      </w:r>
      <w:r w:rsidR="00287E22" w:rsidRPr="00616282">
        <w:rPr>
          <w:rFonts w:ascii="Calibri" w:hAnsi="Calibri" w:cs="Calibri"/>
        </w:rPr>
        <w:t xml:space="preserve"> structured approaches such as regular check-ups on their climate transition progress and assessments of their emission </w:t>
      </w:r>
      <w:r w:rsidR="008C3061" w:rsidRPr="00616282">
        <w:rPr>
          <w:rFonts w:ascii="Calibri" w:hAnsi="Calibri" w:cs="Calibri"/>
        </w:rPr>
        <w:t>profiles</w:t>
      </w:r>
      <w:r w:rsidR="00287E22" w:rsidRPr="00616282">
        <w:rPr>
          <w:rFonts w:ascii="Calibri" w:hAnsi="Calibri" w:cs="Calibri"/>
        </w:rPr>
        <w:t>.</w:t>
      </w:r>
      <w:r w:rsidR="004F4D64" w:rsidRPr="00616282">
        <w:rPr>
          <w:rFonts w:ascii="Calibri" w:hAnsi="Calibri" w:cs="Calibri"/>
        </w:rPr>
        <w:t xml:space="preserve"> Through these </w:t>
      </w:r>
      <w:r w:rsidR="00A80410" w:rsidRPr="00616282">
        <w:rPr>
          <w:rFonts w:ascii="Calibri" w:hAnsi="Calibri" w:cs="Calibri"/>
        </w:rPr>
        <w:t>engagements</w:t>
      </w:r>
      <w:r w:rsidR="004F4D64" w:rsidRPr="00616282">
        <w:rPr>
          <w:rFonts w:ascii="Calibri" w:hAnsi="Calibri" w:cs="Calibri"/>
        </w:rPr>
        <w:t xml:space="preserve">, banks </w:t>
      </w:r>
      <w:r w:rsidR="008C3061" w:rsidRPr="00616282">
        <w:rPr>
          <w:rFonts w:ascii="Calibri" w:hAnsi="Calibri" w:cs="Calibri"/>
        </w:rPr>
        <w:t xml:space="preserve">can develop </w:t>
      </w:r>
      <w:r w:rsidR="008C3061" w:rsidRPr="00616282">
        <w:rPr>
          <w:rFonts w:ascii="Calibri" w:hAnsi="Calibri" w:cs="Calibri"/>
          <w:b/>
          <w:bCs/>
          <w:color w:val="4472C4" w:themeColor="accent1"/>
        </w:rPr>
        <w:t xml:space="preserve">transition finance </w:t>
      </w:r>
      <w:r w:rsidR="00FA1FDD" w:rsidRPr="00616282">
        <w:rPr>
          <w:rFonts w:ascii="Calibri" w:hAnsi="Calibri" w:cs="Calibri"/>
          <w:b/>
          <w:bCs/>
          <w:color w:val="4472C4" w:themeColor="accent1"/>
        </w:rPr>
        <w:t>products</w:t>
      </w:r>
      <w:r w:rsidR="00F51D5A" w:rsidRPr="00616282">
        <w:rPr>
          <w:rFonts w:ascii="Calibri" w:hAnsi="Calibri" w:cs="Calibri"/>
        </w:rPr>
        <w:t xml:space="preserve"> </w:t>
      </w:r>
      <w:r w:rsidR="00287E22" w:rsidRPr="00616282">
        <w:rPr>
          <w:rFonts w:ascii="Calibri" w:hAnsi="Calibri" w:cs="Calibri"/>
        </w:rPr>
        <w:t xml:space="preserve">to meet the evolving needs of </w:t>
      </w:r>
      <w:r w:rsidR="002B4426" w:rsidRPr="00616282">
        <w:rPr>
          <w:rFonts w:ascii="Calibri" w:hAnsi="Calibri" w:cs="Calibri"/>
        </w:rPr>
        <w:t>their</w:t>
      </w:r>
      <w:r w:rsidR="00287E22" w:rsidRPr="00616282">
        <w:rPr>
          <w:rFonts w:ascii="Calibri" w:hAnsi="Calibri" w:cs="Calibri"/>
        </w:rPr>
        <w:t xml:space="preserve"> clients and capitalize on emerging opportunities in the transition to a low-carbon economy</w:t>
      </w:r>
      <w:r w:rsidR="005B5D9E" w:rsidRPr="00616282">
        <w:rPr>
          <w:rFonts w:ascii="Calibri" w:hAnsi="Calibri" w:cs="Calibri"/>
        </w:rPr>
        <w:t>, such as:</w:t>
      </w:r>
    </w:p>
    <w:p w14:paraId="413CACCF" w14:textId="77777777" w:rsidR="00FC65A4" w:rsidRPr="00616282" w:rsidRDefault="00FC65A4" w:rsidP="00FC65A4">
      <w:pPr>
        <w:rPr>
          <w:rFonts w:ascii="Calibri" w:hAnsi="Calibri" w:cs="Calibri"/>
        </w:rPr>
      </w:pPr>
    </w:p>
    <w:p w14:paraId="71CA7D31" w14:textId="72DA28FB" w:rsidR="00FC65A4" w:rsidRPr="00616282" w:rsidRDefault="00FC65A4" w:rsidP="00616282">
      <w:pPr>
        <w:pStyle w:val="ListParagraph"/>
        <w:numPr>
          <w:ilvl w:val="0"/>
          <w:numId w:val="33"/>
        </w:numPr>
        <w:jc w:val="both"/>
        <w:rPr>
          <w:rFonts w:ascii="Calibri" w:hAnsi="Calibri" w:cs="Calibri"/>
          <w:lang w:val="en-GB"/>
        </w:rPr>
      </w:pPr>
      <w:r w:rsidRPr="00616282">
        <w:rPr>
          <w:rFonts w:ascii="Calibri" w:hAnsi="Calibri" w:cs="Calibri"/>
          <w:b/>
          <w:bCs/>
          <w:lang w:val="en-GB"/>
        </w:rPr>
        <w:lastRenderedPageBreak/>
        <w:t>Advisory Services for Clients</w:t>
      </w:r>
      <w:r w:rsidRPr="00616282">
        <w:rPr>
          <w:rFonts w:ascii="Calibri" w:hAnsi="Calibri" w:cs="Calibri"/>
          <w:lang w:val="en-GB"/>
        </w:rPr>
        <w:t xml:space="preserve">: Providing expert guidance to clients on how to transition their operations and investments towards </w:t>
      </w:r>
      <w:r w:rsidR="00260E36" w:rsidRPr="00616282">
        <w:rPr>
          <w:rFonts w:ascii="Calibri" w:hAnsi="Calibri" w:cs="Calibri"/>
          <w:lang w:val="en-GB"/>
        </w:rPr>
        <w:t>climate resilient business model</w:t>
      </w:r>
      <w:r w:rsidRPr="00616282">
        <w:rPr>
          <w:rFonts w:ascii="Calibri" w:hAnsi="Calibri" w:cs="Calibri"/>
          <w:lang w:val="en-GB"/>
        </w:rPr>
        <w:t xml:space="preserve">. This </w:t>
      </w:r>
      <w:r w:rsidR="00260E36" w:rsidRPr="00616282">
        <w:rPr>
          <w:rFonts w:ascii="Calibri" w:hAnsi="Calibri" w:cs="Calibri"/>
          <w:lang w:val="en-GB"/>
        </w:rPr>
        <w:t xml:space="preserve">could </w:t>
      </w:r>
      <w:r w:rsidRPr="00616282">
        <w:rPr>
          <w:rFonts w:ascii="Calibri" w:hAnsi="Calibri" w:cs="Calibri"/>
          <w:lang w:val="en-GB"/>
        </w:rPr>
        <w:t>include strategies to reduce carbon footprints</w:t>
      </w:r>
      <w:r w:rsidR="00BB4189" w:rsidRPr="00616282">
        <w:rPr>
          <w:rFonts w:ascii="Calibri" w:hAnsi="Calibri" w:cs="Calibri"/>
          <w:lang w:val="en-GB"/>
        </w:rPr>
        <w:t>, support their measurement</w:t>
      </w:r>
      <w:r w:rsidR="005C721B">
        <w:rPr>
          <w:rFonts w:ascii="Calibri" w:hAnsi="Calibri" w:cs="Calibri"/>
          <w:lang w:val="en-GB"/>
        </w:rPr>
        <w:t>,</w:t>
      </w:r>
      <w:r w:rsidRPr="00616282">
        <w:rPr>
          <w:rFonts w:ascii="Calibri" w:hAnsi="Calibri" w:cs="Calibri"/>
          <w:lang w:val="en-GB"/>
        </w:rPr>
        <w:t xml:space="preserve"> and comply with regulatory requirements</w:t>
      </w:r>
      <w:r w:rsidR="0014377D" w:rsidRPr="00616282">
        <w:rPr>
          <w:rFonts w:ascii="Calibri" w:hAnsi="Calibri" w:cs="Calibri"/>
          <w:lang w:val="en-GB"/>
        </w:rPr>
        <w:t xml:space="preserve">. </w:t>
      </w:r>
    </w:p>
    <w:p w14:paraId="56243515" w14:textId="36630CCF" w:rsidR="00FC65A4" w:rsidRPr="00616282" w:rsidRDefault="00FC65A4" w:rsidP="00616282">
      <w:pPr>
        <w:pStyle w:val="ListParagraph"/>
        <w:numPr>
          <w:ilvl w:val="0"/>
          <w:numId w:val="33"/>
        </w:numPr>
        <w:jc w:val="both"/>
        <w:rPr>
          <w:rFonts w:ascii="Calibri" w:hAnsi="Calibri" w:cs="Calibri"/>
          <w:lang w:val="en-GB"/>
        </w:rPr>
      </w:pPr>
      <w:r w:rsidRPr="00616282">
        <w:rPr>
          <w:rFonts w:ascii="Calibri" w:hAnsi="Calibri" w:cs="Calibri"/>
          <w:b/>
          <w:bCs/>
          <w:lang w:val="en-GB"/>
        </w:rPr>
        <w:t>Green Finance Products</w:t>
      </w:r>
      <w:r w:rsidRPr="00616282">
        <w:rPr>
          <w:rFonts w:ascii="Calibri" w:hAnsi="Calibri" w:cs="Calibri"/>
          <w:lang w:val="en-GB"/>
        </w:rPr>
        <w:t>: Offering financial instruments specifically designed to fund environmentally friendly projects. This can encompass green bonds, loans, and other investment vehicles that support renewable energy, energy efficiency, pollution prevention, and other green initiatives</w:t>
      </w:r>
      <w:r w:rsidR="0014377D" w:rsidRPr="00616282">
        <w:rPr>
          <w:rFonts w:ascii="Calibri" w:hAnsi="Calibri" w:cs="Calibri"/>
          <w:lang w:val="en-GB"/>
        </w:rPr>
        <w:t xml:space="preserve">. </w:t>
      </w:r>
    </w:p>
    <w:p w14:paraId="5140B48C" w14:textId="3C4131C1" w:rsidR="00FC65A4" w:rsidRPr="00616282" w:rsidRDefault="00FC65A4" w:rsidP="00616282">
      <w:pPr>
        <w:pStyle w:val="ListParagraph"/>
        <w:numPr>
          <w:ilvl w:val="0"/>
          <w:numId w:val="33"/>
        </w:numPr>
        <w:jc w:val="both"/>
        <w:rPr>
          <w:rFonts w:ascii="Calibri" w:hAnsi="Calibri" w:cs="Calibri"/>
          <w:lang w:val="en-GB"/>
        </w:rPr>
      </w:pPr>
      <w:r w:rsidRPr="00616282">
        <w:rPr>
          <w:rFonts w:ascii="Calibri" w:hAnsi="Calibri" w:cs="Calibri"/>
          <w:b/>
          <w:bCs/>
          <w:lang w:val="en-GB"/>
        </w:rPr>
        <w:t>Transition Finance Products</w:t>
      </w:r>
      <w:r w:rsidRPr="00616282">
        <w:rPr>
          <w:rFonts w:ascii="Calibri" w:hAnsi="Calibri" w:cs="Calibri"/>
          <w:lang w:val="en-GB"/>
        </w:rPr>
        <w:t xml:space="preserve">: Developing tailored financial solutions that help companies transition from high-carbon to low-carbon activities. These products </w:t>
      </w:r>
      <w:r w:rsidR="00AB716A" w:rsidRPr="00616282">
        <w:rPr>
          <w:rFonts w:ascii="Calibri" w:hAnsi="Calibri" w:cs="Calibri"/>
          <w:lang w:val="en-GB"/>
        </w:rPr>
        <w:t xml:space="preserve">would </w:t>
      </w:r>
      <w:r w:rsidRPr="00616282">
        <w:rPr>
          <w:rFonts w:ascii="Calibri" w:hAnsi="Calibri" w:cs="Calibri"/>
          <w:lang w:val="en-GB"/>
        </w:rPr>
        <w:t>aim to support</w:t>
      </w:r>
      <w:r w:rsidR="00AB716A" w:rsidRPr="00616282">
        <w:rPr>
          <w:rFonts w:ascii="Calibri" w:hAnsi="Calibri" w:cs="Calibri"/>
          <w:lang w:val="en-GB"/>
        </w:rPr>
        <w:t xml:space="preserve"> hard-to-abate</w:t>
      </w:r>
      <w:r w:rsidRPr="00616282">
        <w:rPr>
          <w:rFonts w:ascii="Calibri" w:hAnsi="Calibri" w:cs="Calibri"/>
          <w:lang w:val="en-GB"/>
        </w:rPr>
        <w:t xml:space="preserve"> sectors </w:t>
      </w:r>
      <w:r w:rsidR="00DA6F60" w:rsidRPr="00616282">
        <w:rPr>
          <w:rFonts w:ascii="Calibri" w:hAnsi="Calibri" w:cs="Calibri"/>
          <w:lang w:val="en-GB"/>
        </w:rPr>
        <w:t xml:space="preserve">in their efforts to </w:t>
      </w:r>
      <w:r w:rsidRPr="00616282">
        <w:rPr>
          <w:rFonts w:ascii="Calibri" w:hAnsi="Calibri" w:cs="Calibri"/>
          <w:lang w:val="en-GB"/>
        </w:rPr>
        <w:t>reduc</w:t>
      </w:r>
      <w:r w:rsidR="00FF786B" w:rsidRPr="00616282">
        <w:rPr>
          <w:rFonts w:ascii="Calibri" w:hAnsi="Calibri" w:cs="Calibri"/>
          <w:lang w:val="en-GB"/>
        </w:rPr>
        <w:t>e</w:t>
      </w:r>
      <w:r w:rsidRPr="00616282">
        <w:rPr>
          <w:rFonts w:ascii="Calibri" w:hAnsi="Calibri" w:cs="Calibri"/>
          <w:lang w:val="en-GB"/>
        </w:rPr>
        <w:t xml:space="preserve"> their carbon emissions</w:t>
      </w:r>
      <w:r w:rsidR="00FF786B" w:rsidRPr="00616282">
        <w:rPr>
          <w:rFonts w:ascii="Calibri" w:hAnsi="Calibri" w:cs="Calibri"/>
          <w:lang w:val="en-GB"/>
        </w:rPr>
        <w:t xml:space="preserve"> (</w:t>
      </w:r>
      <w:r w:rsidR="00B22A7D" w:rsidRPr="00616282">
        <w:rPr>
          <w:rFonts w:ascii="Calibri" w:hAnsi="Calibri" w:cs="Calibri"/>
          <w:lang w:val="en-GB"/>
        </w:rPr>
        <w:t>e.g., cement, steel, iron</w:t>
      </w:r>
      <w:r w:rsidR="00FC4357" w:rsidRPr="00616282">
        <w:rPr>
          <w:rFonts w:ascii="Calibri" w:hAnsi="Calibri" w:cs="Calibri"/>
          <w:lang w:val="en-GB"/>
        </w:rPr>
        <w:t>, chemicals</w:t>
      </w:r>
      <w:r w:rsidR="00B655C2" w:rsidRPr="00616282">
        <w:rPr>
          <w:rFonts w:ascii="Calibri" w:hAnsi="Calibri" w:cs="Calibri"/>
          <w:lang w:val="en-GB"/>
        </w:rPr>
        <w:t xml:space="preserve"> etc.)</w:t>
      </w:r>
    </w:p>
    <w:p w14:paraId="2CDF7106" w14:textId="5065176E" w:rsidR="00FC65A4" w:rsidRPr="00616282" w:rsidRDefault="00FC65A4" w:rsidP="00616282">
      <w:pPr>
        <w:pStyle w:val="ListParagraph"/>
        <w:numPr>
          <w:ilvl w:val="0"/>
          <w:numId w:val="33"/>
        </w:numPr>
        <w:jc w:val="both"/>
        <w:rPr>
          <w:rFonts w:ascii="Calibri" w:hAnsi="Calibri" w:cs="Calibri"/>
          <w:lang w:val="en-GB"/>
        </w:rPr>
      </w:pPr>
      <w:r w:rsidRPr="00616282">
        <w:rPr>
          <w:rFonts w:ascii="Calibri" w:hAnsi="Calibri" w:cs="Calibri"/>
          <w:b/>
          <w:bCs/>
          <w:lang w:val="en-GB"/>
        </w:rPr>
        <w:t>Sustainability-Linked Products</w:t>
      </w:r>
      <w:r w:rsidRPr="00616282">
        <w:rPr>
          <w:rFonts w:ascii="Calibri" w:hAnsi="Calibri" w:cs="Calibri"/>
          <w:lang w:val="en-GB"/>
        </w:rPr>
        <w:t>: Creating financial products that are tied to the achievement of specific sustainability performance targets. These could include sustainability-linked loans or bonds, where the terms and conditions, such as interest rates, are linked to the borrower’s performance against predefined sustainability metrics.</w:t>
      </w:r>
    </w:p>
    <w:p w14:paraId="312B213E" w14:textId="77777777" w:rsidR="00FC65A4" w:rsidRPr="00616282" w:rsidRDefault="00FC65A4" w:rsidP="000C4C5B">
      <w:pPr>
        <w:jc w:val="both"/>
        <w:rPr>
          <w:rFonts w:ascii="Calibri" w:hAnsi="Calibri" w:cs="Calibri"/>
        </w:rPr>
      </w:pPr>
    </w:p>
    <w:p w14:paraId="1906B604" w14:textId="01B9D107" w:rsidR="001C3C18" w:rsidRPr="00616282" w:rsidRDefault="001C3C18" w:rsidP="000C4C5B">
      <w:pPr>
        <w:jc w:val="both"/>
        <w:rPr>
          <w:rFonts w:ascii="Calibri" w:hAnsi="Calibri" w:cs="Calibri"/>
        </w:rPr>
      </w:pPr>
      <w:r w:rsidRPr="00616282">
        <w:rPr>
          <w:rFonts w:ascii="Calibri" w:hAnsi="Calibri" w:cs="Calibri"/>
        </w:rPr>
        <w:t xml:space="preserve">The following figure shows how </w:t>
      </w:r>
      <w:r w:rsidR="001001EC" w:rsidRPr="00616282">
        <w:rPr>
          <w:rFonts w:ascii="Calibri" w:hAnsi="Calibri" w:cs="Calibri"/>
        </w:rPr>
        <w:t xml:space="preserve">TD Bank </w:t>
      </w:r>
      <w:r w:rsidRPr="00616282">
        <w:rPr>
          <w:rFonts w:ascii="Calibri" w:hAnsi="Calibri" w:cs="Calibri"/>
        </w:rPr>
        <w:t xml:space="preserve">has assembled its </w:t>
      </w:r>
      <w:r w:rsidR="001001EC" w:rsidRPr="00616282">
        <w:rPr>
          <w:rFonts w:ascii="Calibri" w:hAnsi="Calibri" w:cs="Calibri"/>
        </w:rPr>
        <w:t>Climate</w:t>
      </w:r>
      <w:r w:rsidRPr="00616282">
        <w:rPr>
          <w:rFonts w:ascii="Calibri" w:hAnsi="Calibri" w:cs="Calibri"/>
        </w:rPr>
        <w:t xml:space="preserve"> Transition Plan </w:t>
      </w:r>
      <w:r w:rsidR="00BA2B00" w:rsidRPr="00616282">
        <w:rPr>
          <w:rFonts w:ascii="Calibri" w:hAnsi="Calibri" w:cs="Calibri"/>
        </w:rPr>
        <w:t xml:space="preserve">under the overall business strategy, </w:t>
      </w:r>
      <w:r w:rsidRPr="00616282">
        <w:rPr>
          <w:rFonts w:ascii="Calibri" w:hAnsi="Calibri" w:cs="Calibri"/>
        </w:rPr>
        <w:t xml:space="preserve">with a series of targets and business commitments </w:t>
      </w:r>
      <w:r w:rsidR="00E25D3D" w:rsidRPr="00616282">
        <w:rPr>
          <w:rFonts w:ascii="Calibri" w:hAnsi="Calibri" w:cs="Calibri"/>
        </w:rPr>
        <w:t xml:space="preserve">by </w:t>
      </w:r>
      <w:r w:rsidRPr="00616282">
        <w:rPr>
          <w:rFonts w:ascii="Calibri" w:hAnsi="Calibri" w:cs="Calibri"/>
        </w:rPr>
        <w:t>2030</w:t>
      </w:r>
      <w:r w:rsidR="00E25D3D" w:rsidRPr="00616282">
        <w:rPr>
          <w:rFonts w:ascii="Calibri" w:hAnsi="Calibri" w:cs="Calibri"/>
        </w:rPr>
        <w:t xml:space="preserve">. </w:t>
      </w:r>
    </w:p>
    <w:p w14:paraId="500F1A2E" w14:textId="77777777" w:rsidR="001C3C18" w:rsidRPr="00616282" w:rsidRDefault="001C3C18" w:rsidP="000C4C5B">
      <w:pPr>
        <w:jc w:val="both"/>
        <w:rPr>
          <w:rFonts w:ascii="Calibri" w:hAnsi="Calibri" w:cs="Calibri"/>
        </w:rPr>
      </w:pPr>
    </w:p>
    <w:p w14:paraId="447BC397" w14:textId="3AEAFA86" w:rsidR="006725A9" w:rsidRPr="00616282" w:rsidRDefault="001C3C18" w:rsidP="00616282">
      <w:pPr>
        <w:rPr>
          <w:rFonts w:ascii="Calibri" w:hAnsi="Calibri" w:cs="Calibri"/>
          <w:b/>
          <w:bCs/>
          <w:color w:val="ED7D31" w:themeColor="accent2"/>
          <w:lang w:val="en-GB"/>
        </w:rPr>
      </w:pPr>
      <w:bookmarkStart w:id="71" w:name="_Toc175223824"/>
      <w:r w:rsidRPr="00616282">
        <w:rPr>
          <w:rFonts w:ascii="Calibri" w:hAnsi="Calibri" w:cs="Calibri"/>
          <w:b/>
          <w:bCs/>
          <w:color w:val="ED7D31" w:themeColor="accent2"/>
          <w:lang w:val="en-GB"/>
        </w:rPr>
        <w:t xml:space="preserve">Figure </w:t>
      </w:r>
      <w:r w:rsidR="00446278" w:rsidRPr="00616282">
        <w:rPr>
          <w:rFonts w:ascii="Calibri" w:hAnsi="Calibri" w:cs="Calibri"/>
          <w:b/>
          <w:bCs/>
          <w:color w:val="ED7D31" w:themeColor="accent2"/>
          <w:lang w:val="en-GB"/>
        </w:rPr>
        <w:fldChar w:fldCharType="begin"/>
      </w:r>
      <w:r w:rsidR="00446278" w:rsidRPr="00616282">
        <w:rPr>
          <w:rFonts w:ascii="Calibri" w:hAnsi="Calibri" w:cs="Calibri"/>
          <w:b/>
          <w:bCs/>
          <w:color w:val="ED7D31" w:themeColor="accent2"/>
          <w:lang w:val="en-GB"/>
        </w:rPr>
        <w:instrText xml:space="preserve"> SEQ Figure \* ARABIC </w:instrText>
      </w:r>
      <w:r w:rsidR="00446278" w:rsidRPr="00616282">
        <w:rPr>
          <w:rFonts w:ascii="Calibri" w:hAnsi="Calibri" w:cs="Calibri"/>
          <w:b/>
          <w:bCs/>
          <w:color w:val="ED7D31" w:themeColor="accent2"/>
          <w:lang w:val="en-GB"/>
        </w:rPr>
        <w:fldChar w:fldCharType="separate"/>
      </w:r>
      <w:r w:rsidR="0096670A">
        <w:rPr>
          <w:rFonts w:ascii="Calibri" w:hAnsi="Calibri" w:cs="Calibri"/>
          <w:b/>
          <w:bCs/>
          <w:noProof/>
          <w:color w:val="ED7D31" w:themeColor="accent2"/>
          <w:lang w:val="en-GB"/>
        </w:rPr>
        <w:t>9</w:t>
      </w:r>
      <w:r w:rsidR="00446278" w:rsidRPr="00616282">
        <w:rPr>
          <w:rFonts w:ascii="Calibri" w:hAnsi="Calibri" w:cs="Calibri"/>
          <w:b/>
          <w:bCs/>
          <w:color w:val="ED7D31" w:themeColor="accent2"/>
          <w:lang w:val="en-GB"/>
        </w:rPr>
        <w:fldChar w:fldCharType="end"/>
      </w:r>
      <w:r w:rsidRPr="00616282">
        <w:rPr>
          <w:rFonts w:ascii="Calibri" w:hAnsi="Calibri" w:cs="Calibri"/>
          <w:b/>
          <w:bCs/>
          <w:color w:val="ED7D31" w:themeColor="accent2"/>
          <w:lang w:val="en-GB"/>
        </w:rPr>
        <w:t xml:space="preserve">. </w:t>
      </w:r>
      <w:r w:rsidR="00365080" w:rsidRPr="00616282">
        <w:rPr>
          <w:rFonts w:ascii="Calibri" w:hAnsi="Calibri" w:cs="Calibri"/>
          <w:b/>
          <w:bCs/>
          <w:color w:val="ED7D31" w:themeColor="accent2"/>
          <w:lang w:val="en-GB"/>
        </w:rPr>
        <w:t xml:space="preserve">Overview of </w:t>
      </w:r>
      <w:r w:rsidR="002C5A93" w:rsidRPr="00616282">
        <w:rPr>
          <w:rFonts w:ascii="Calibri" w:hAnsi="Calibri" w:cs="Calibri"/>
          <w:b/>
          <w:bCs/>
          <w:color w:val="ED7D31" w:themeColor="accent2"/>
          <w:lang w:val="en-GB"/>
        </w:rPr>
        <w:t>TD Bank Climate</w:t>
      </w:r>
      <w:r w:rsidR="00365080" w:rsidRPr="00616282">
        <w:rPr>
          <w:rFonts w:ascii="Calibri" w:hAnsi="Calibri" w:cs="Calibri"/>
          <w:b/>
          <w:bCs/>
          <w:color w:val="ED7D31" w:themeColor="accent2"/>
          <w:lang w:val="en-GB"/>
        </w:rPr>
        <w:t xml:space="preserve"> Transition Plan</w:t>
      </w:r>
      <w:bookmarkEnd w:id="71"/>
    </w:p>
    <w:p w14:paraId="5CCB4584" w14:textId="58F1DA69" w:rsidR="006725A9" w:rsidRPr="00616282" w:rsidRDefault="003B2AB0" w:rsidP="000C4C5B">
      <w:pPr>
        <w:jc w:val="center"/>
        <w:rPr>
          <w:rFonts w:ascii="Calibri" w:hAnsi="Calibri" w:cs="Calibri"/>
        </w:rPr>
      </w:pPr>
      <w:r w:rsidRPr="00616282">
        <w:rPr>
          <w:rFonts w:ascii="Calibri" w:hAnsi="Calibri" w:cs="Calibri"/>
          <w:noProof/>
          <w14:ligatures w14:val="standardContextual"/>
        </w:rPr>
        <w:t xml:space="preserve"> </w:t>
      </w:r>
      <w:r w:rsidRPr="00616282">
        <w:rPr>
          <w:rFonts w:ascii="Calibri" w:hAnsi="Calibri" w:cs="Calibri"/>
          <w:noProof/>
        </w:rPr>
        <w:drawing>
          <wp:inline distT="0" distB="0" distL="0" distR="0" wp14:anchorId="506FC9EC" wp14:editId="3587C646">
            <wp:extent cx="6464300" cy="4127500"/>
            <wp:effectExtent l="0" t="0" r="0" b="6350"/>
            <wp:docPr id="162220565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2205652" name=""/>
                    <pic:cNvPicPr/>
                  </pic:nvPicPr>
                  <pic:blipFill>
                    <a:blip r:embed="rId34"/>
                    <a:stretch>
                      <a:fillRect/>
                    </a:stretch>
                  </pic:blipFill>
                  <pic:spPr>
                    <a:xfrm>
                      <a:off x="0" y="0"/>
                      <a:ext cx="6464300" cy="4127500"/>
                    </a:xfrm>
                    <a:prstGeom prst="rect">
                      <a:avLst/>
                    </a:prstGeom>
                  </pic:spPr>
                </pic:pic>
              </a:graphicData>
            </a:graphic>
          </wp:inline>
        </w:drawing>
      </w:r>
    </w:p>
    <w:p w14:paraId="6293C717" w14:textId="3662E950" w:rsidR="005001B1" w:rsidRPr="00616282" w:rsidRDefault="005001B1" w:rsidP="000C4C5B">
      <w:pPr>
        <w:jc w:val="center"/>
        <w:rPr>
          <w:rFonts w:ascii="Calibri" w:hAnsi="Calibri" w:cs="Calibri"/>
          <w:sz w:val="20"/>
          <w:szCs w:val="20"/>
        </w:rPr>
      </w:pPr>
      <w:r w:rsidRPr="00616282">
        <w:rPr>
          <w:rFonts w:ascii="Calibri" w:hAnsi="Calibri" w:cs="Calibri"/>
          <w:sz w:val="20"/>
          <w:szCs w:val="20"/>
        </w:rPr>
        <w:t xml:space="preserve">Source: </w:t>
      </w:r>
      <w:r w:rsidR="00D8065F" w:rsidRPr="00616282">
        <w:rPr>
          <w:rFonts w:ascii="Calibri" w:hAnsi="Calibri" w:cs="Calibri"/>
          <w:sz w:val="20"/>
          <w:szCs w:val="20"/>
        </w:rPr>
        <w:t>TD Bank</w:t>
      </w:r>
      <w:r w:rsidRPr="00616282">
        <w:rPr>
          <w:rFonts w:ascii="Calibri" w:hAnsi="Calibri" w:cs="Calibri"/>
          <w:sz w:val="20"/>
          <w:szCs w:val="20"/>
        </w:rPr>
        <w:t>. 202</w:t>
      </w:r>
      <w:r w:rsidR="00D8065F" w:rsidRPr="00616282">
        <w:rPr>
          <w:rFonts w:ascii="Calibri" w:hAnsi="Calibri" w:cs="Calibri"/>
          <w:sz w:val="20"/>
          <w:szCs w:val="20"/>
        </w:rPr>
        <w:t>2</w:t>
      </w:r>
      <w:r w:rsidRPr="00616282">
        <w:rPr>
          <w:rFonts w:ascii="Calibri" w:hAnsi="Calibri" w:cs="Calibri"/>
          <w:sz w:val="20"/>
          <w:szCs w:val="20"/>
        </w:rPr>
        <w:t>.</w:t>
      </w:r>
    </w:p>
    <w:p w14:paraId="060BDA0A" w14:textId="77777777" w:rsidR="00341237" w:rsidRPr="00616282" w:rsidRDefault="00341237" w:rsidP="00B94037">
      <w:pPr>
        <w:rPr>
          <w:rFonts w:ascii="Calibri" w:hAnsi="Calibri" w:cs="Calibri"/>
        </w:rPr>
      </w:pPr>
    </w:p>
    <w:p w14:paraId="605EFE22" w14:textId="77777777" w:rsidR="00157082" w:rsidRDefault="00157082">
      <w:pPr>
        <w:rPr>
          <w:rFonts w:ascii="Calibri" w:eastAsiaTheme="majorEastAsia" w:hAnsi="Calibri" w:cs="Calibri"/>
          <w:color w:val="2F5496" w:themeColor="accent1" w:themeShade="BF"/>
          <w:sz w:val="32"/>
          <w:szCs w:val="32"/>
        </w:rPr>
      </w:pPr>
      <w:bookmarkStart w:id="72" w:name="_Toc167079301"/>
      <w:bookmarkStart w:id="73" w:name="_Toc167079490"/>
      <w:bookmarkStart w:id="74" w:name="_Toc171908187"/>
      <w:r>
        <w:rPr>
          <w:rFonts w:ascii="Calibri" w:hAnsi="Calibri" w:cs="Calibri"/>
        </w:rPr>
        <w:br w:type="page"/>
      </w:r>
    </w:p>
    <w:p w14:paraId="68E936E5" w14:textId="1114A733" w:rsidR="001B70CE" w:rsidRPr="00616282" w:rsidRDefault="001B70CE" w:rsidP="0061766C">
      <w:pPr>
        <w:pStyle w:val="Heading1"/>
        <w:pBdr>
          <w:bottom w:val="single" w:sz="8" w:space="1" w:color="2E74B5" w:themeColor="accent5" w:themeShade="BF"/>
        </w:pBdr>
        <w:rPr>
          <w:rFonts w:ascii="Calibri" w:hAnsi="Calibri" w:cs="Calibri"/>
        </w:rPr>
      </w:pPr>
      <w:r w:rsidRPr="00616282">
        <w:rPr>
          <w:rFonts w:ascii="Calibri" w:hAnsi="Calibri" w:cs="Calibri"/>
        </w:rPr>
        <w:lastRenderedPageBreak/>
        <w:t>Risk management</w:t>
      </w:r>
      <w:bookmarkEnd w:id="72"/>
      <w:bookmarkEnd w:id="73"/>
      <w:bookmarkEnd w:id="74"/>
    </w:p>
    <w:p w14:paraId="13A78EF6" w14:textId="77777777" w:rsidR="001015AB" w:rsidRPr="00616282" w:rsidRDefault="001015AB" w:rsidP="00FB0DA0">
      <w:pPr>
        <w:pStyle w:val="ListParagraph"/>
        <w:ind w:left="1080"/>
        <w:contextualSpacing w:val="0"/>
        <w:rPr>
          <w:rFonts w:ascii="Calibri" w:hAnsi="Calibri" w:cs="Calibri"/>
          <w:lang w:val="en-GB"/>
        </w:rPr>
      </w:pPr>
    </w:p>
    <w:p w14:paraId="4035B9CE" w14:textId="10EF4322" w:rsidR="0013088E" w:rsidRPr="00616282" w:rsidRDefault="0013088E" w:rsidP="004001DB">
      <w:pPr>
        <w:jc w:val="both"/>
        <w:rPr>
          <w:rFonts w:ascii="Calibri" w:hAnsi="Calibri" w:cs="Calibri"/>
          <w:b/>
          <w:bCs/>
          <w:color w:val="ED7D31" w:themeColor="accent2"/>
          <w:lang w:val="en-GB"/>
        </w:rPr>
      </w:pPr>
      <w:r w:rsidRPr="00616282">
        <w:rPr>
          <w:rFonts w:ascii="Calibri" w:hAnsi="Calibri" w:cs="Calibri"/>
          <w:color w:val="000000" w:themeColor="text1"/>
          <w:lang w:val="en-GB"/>
        </w:rPr>
        <w:t xml:space="preserve">The </w:t>
      </w:r>
      <w:r w:rsidR="004001DB" w:rsidRPr="00616282">
        <w:rPr>
          <w:rFonts w:ascii="Calibri" w:hAnsi="Calibri" w:cs="Calibri"/>
          <w:color w:val="000000" w:themeColor="text1"/>
          <w:lang w:val="en-GB"/>
        </w:rPr>
        <w:t>CBK’s</w:t>
      </w:r>
      <w:r w:rsidRPr="00616282">
        <w:rPr>
          <w:rFonts w:ascii="Calibri" w:hAnsi="Calibri" w:cs="Calibri"/>
          <w:color w:val="000000" w:themeColor="text1"/>
          <w:lang w:val="en-GB"/>
        </w:rPr>
        <w:t xml:space="preserve"> expectation on climate risk management requires institutions to have documented policies and procedures </w:t>
      </w:r>
      <w:r w:rsidR="00D16D61" w:rsidRPr="00616282">
        <w:rPr>
          <w:rFonts w:ascii="Calibri" w:hAnsi="Calibri" w:cs="Calibri"/>
          <w:color w:val="000000" w:themeColor="text1"/>
          <w:lang w:val="en-GB"/>
        </w:rPr>
        <w:t>to</w:t>
      </w:r>
      <w:r w:rsidRPr="00616282">
        <w:rPr>
          <w:rFonts w:ascii="Calibri" w:hAnsi="Calibri" w:cs="Calibri"/>
          <w:color w:val="000000" w:themeColor="text1"/>
          <w:lang w:val="en-GB"/>
        </w:rPr>
        <w:t xml:space="preserve"> manage</w:t>
      </w:r>
      <w:r w:rsidR="00D16D61" w:rsidRPr="00616282">
        <w:rPr>
          <w:rFonts w:ascii="Calibri" w:hAnsi="Calibri" w:cs="Calibri"/>
          <w:color w:val="000000" w:themeColor="text1"/>
          <w:lang w:val="en-GB"/>
        </w:rPr>
        <w:t xml:space="preserve"> climate-related financial risks </w:t>
      </w:r>
      <w:r w:rsidRPr="00616282">
        <w:rPr>
          <w:rFonts w:ascii="Calibri" w:hAnsi="Calibri" w:cs="Calibri"/>
          <w:color w:val="000000" w:themeColor="text1"/>
          <w:lang w:val="en-GB"/>
        </w:rPr>
        <w:t xml:space="preserve">in a </w:t>
      </w:r>
      <w:r w:rsidRPr="00616282">
        <w:rPr>
          <w:rFonts w:ascii="Calibri" w:hAnsi="Calibri" w:cs="Calibri"/>
          <w:lang w:val="en-GB"/>
        </w:rPr>
        <w:t>proactive manner. Given the evolving nature of climate-related risks, relevant risk management framework</w:t>
      </w:r>
      <w:r w:rsidR="0067774B">
        <w:rPr>
          <w:rFonts w:ascii="Calibri" w:hAnsi="Calibri" w:cs="Calibri"/>
          <w:lang w:val="en-GB"/>
        </w:rPr>
        <w:t>s</w:t>
      </w:r>
      <w:r w:rsidRPr="00616282">
        <w:rPr>
          <w:rFonts w:ascii="Calibri" w:hAnsi="Calibri" w:cs="Calibri"/>
          <w:lang w:val="en-GB"/>
        </w:rPr>
        <w:t xml:space="preserve">, </w:t>
      </w:r>
      <w:r w:rsidR="0014377D" w:rsidRPr="00616282">
        <w:rPr>
          <w:rFonts w:ascii="Calibri" w:hAnsi="Calibri" w:cs="Calibri"/>
          <w:lang w:val="en-GB"/>
        </w:rPr>
        <w:t>policies,</w:t>
      </w:r>
      <w:r w:rsidRPr="00616282">
        <w:rPr>
          <w:rFonts w:ascii="Calibri" w:hAnsi="Calibri" w:cs="Calibri"/>
          <w:lang w:val="en-GB"/>
        </w:rPr>
        <w:t xml:space="preserve"> and procedures, as well as the effectiveness of related internal controls, should be reviewed regularly to keep pace with the changing environment (Section 3.4 of the CBK Guidance on Climate-related Risk Management. 2021).</w:t>
      </w:r>
    </w:p>
    <w:p w14:paraId="2AFC2699" w14:textId="77777777" w:rsidR="0013088E" w:rsidRPr="00616282" w:rsidRDefault="0013088E" w:rsidP="009F0057">
      <w:pPr>
        <w:ind w:left="720"/>
        <w:jc w:val="both"/>
        <w:rPr>
          <w:rFonts w:ascii="Calibri" w:hAnsi="Calibri" w:cs="Calibri"/>
          <w:lang w:val="en-GB"/>
        </w:rPr>
      </w:pPr>
    </w:p>
    <w:p w14:paraId="2FA690DB" w14:textId="756FA7EC" w:rsidR="0041297B" w:rsidRPr="00616282" w:rsidRDefault="009F0057" w:rsidP="00FE78ED">
      <w:pPr>
        <w:jc w:val="both"/>
        <w:rPr>
          <w:rFonts w:ascii="Calibri" w:hAnsi="Calibri" w:cs="Calibri"/>
          <w:lang w:val="en-GB"/>
        </w:rPr>
      </w:pPr>
      <w:r w:rsidRPr="00616282">
        <w:rPr>
          <w:rFonts w:ascii="Calibri" w:hAnsi="Calibri" w:cs="Calibri"/>
          <w:lang w:val="en-GB"/>
        </w:rPr>
        <w:t xml:space="preserve">The objective of disclosing </w:t>
      </w:r>
      <w:r w:rsidR="00CB0BF9" w:rsidRPr="00616282">
        <w:rPr>
          <w:rFonts w:ascii="Calibri" w:hAnsi="Calibri" w:cs="Calibri"/>
          <w:lang w:val="en-GB"/>
        </w:rPr>
        <w:t xml:space="preserve">climate-related </w:t>
      </w:r>
      <w:r w:rsidRPr="00616282">
        <w:rPr>
          <w:rFonts w:ascii="Calibri" w:hAnsi="Calibri" w:cs="Calibri"/>
          <w:lang w:val="en-GB"/>
        </w:rPr>
        <w:t>risk management policies is to understand a bank's approach in identifying, assessing, prioritizing, and monitoring climate-related risks and opportunities. It emphasizes the need for integration of these processes into the bank's overall risk management framework. Specifically, banks should disclose information about their processes and policies for identifying, assessing, and monitoring climate-related risks and opportunities. Additionally, the text highlights the importance of utilizing climate-related scenario analysis to inform the identification of opportunities. Integration of these processes into the bank's overarching risk management process is crucial, and the extent to which this integration occurs should be disclosed.</w:t>
      </w:r>
    </w:p>
    <w:p w14:paraId="57597CC0" w14:textId="77777777" w:rsidR="00C948BD" w:rsidRPr="00616282" w:rsidRDefault="00C948BD" w:rsidP="0046333A">
      <w:pPr>
        <w:rPr>
          <w:rFonts w:ascii="Calibri" w:hAnsi="Calibri" w:cs="Calibri"/>
          <w:b/>
          <w:bCs/>
          <w:color w:val="ED7D31" w:themeColor="accent2"/>
          <w:lang w:val="en-GB"/>
        </w:rPr>
      </w:pPr>
    </w:p>
    <w:p w14:paraId="5CBD2334" w14:textId="0CFAE484" w:rsidR="00BE6B3E" w:rsidRPr="00616282" w:rsidRDefault="00BE6B3E" w:rsidP="00616282">
      <w:pPr>
        <w:rPr>
          <w:rFonts w:ascii="Calibri" w:hAnsi="Calibri" w:cs="Calibri"/>
          <w:b/>
          <w:bCs/>
          <w:color w:val="ED7D31" w:themeColor="accent2"/>
          <w:lang w:val="en-GB"/>
        </w:rPr>
      </w:pPr>
      <w:bookmarkStart w:id="75" w:name="_Toc171908209"/>
      <w:r w:rsidRPr="00616282">
        <w:rPr>
          <w:rFonts w:ascii="Calibri" w:hAnsi="Calibri" w:cs="Calibri"/>
          <w:b/>
          <w:bCs/>
          <w:color w:val="ED7D31" w:themeColor="accent2"/>
          <w:lang w:val="en-GB"/>
        </w:rPr>
        <w:t xml:space="preserve">Table </w:t>
      </w:r>
      <w:r w:rsidRPr="00616282">
        <w:rPr>
          <w:rFonts w:ascii="Calibri" w:hAnsi="Calibri" w:cs="Calibri"/>
          <w:b/>
          <w:bCs/>
          <w:color w:val="ED7D31" w:themeColor="accent2"/>
          <w:lang w:val="en-GB"/>
        </w:rPr>
        <w:fldChar w:fldCharType="begin"/>
      </w:r>
      <w:r w:rsidRPr="00616282">
        <w:rPr>
          <w:rFonts w:ascii="Calibri" w:hAnsi="Calibri" w:cs="Calibri"/>
          <w:b/>
          <w:bCs/>
          <w:color w:val="ED7D31" w:themeColor="accent2"/>
          <w:lang w:val="en-GB"/>
        </w:rPr>
        <w:instrText xml:space="preserve"> SEQ Table \* ARABIC </w:instrText>
      </w:r>
      <w:r w:rsidRPr="00616282">
        <w:rPr>
          <w:rFonts w:ascii="Calibri" w:hAnsi="Calibri" w:cs="Calibri"/>
          <w:b/>
          <w:bCs/>
          <w:color w:val="ED7D31" w:themeColor="accent2"/>
          <w:lang w:val="en-GB"/>
        </w:rPr>
        <w:fldChar w:fldCharType="separate"/>
      </w:r>
      <w:r w:rsidR="0096670A">
        <w:rPr>
          <w:rFonts w:ascii="Calibri" w:hAnsi="Calibri" w:cs="Calibri"/>
          <w:b/>
          <w:bCs/>
          <w:noProof/>
          <w:color w:val="ED7D31" w:themeColor="accent2"/>
          <w:lang w:val="en-GB"/>
        </w:rPr>
        <w:t>15</w:t>
      </w:r>
      <w:r w:rsidRPr="00616282">
        <w:rPr>
          <w:rFonts w:ascii="Calibri" w:hAnsi="Calibri" w:cs="Calibri"/>
          <w:b/>
          <w:bCs/>
          <w:color w:val="ED7D31" w:themeColor="accent2"/>
          <w:lang w:val="en-GB"/>
        </w:rPr>
        <w:fldChar w:fldCharType="end"/>
      </w:r>
      <w:r w:rsidRPr="00616282">
        <w:rPr>
          <w:rFonts w:ascii="Calibri" w:hAnsi="Calibri" w:cs="Calibri"/>
          <w:b/>
          <w:bCs/>
          <w:color w:val="ED7D31" w:themeColor="accent2"/>
          <w:lang w:val="en-GB"/>
        </w:rPr>
        <w:t xml:space="preserve"> Linking CBK, IFRS and BCBS expectations on risk management</w:t>
      </w:r>
      <w:bookmarkEnd w:id="75"/>
    </w:p>
    <w:p w14:paraId="5817F700" w14:textId="77777777" w:rsidR="00C949E2" w:rsidRPr="00616282" w:rsidRDefault="00C949E2" w:rsidP="00C949E2">
      <w:pPr>
        <w:rPr>
          <w:rFonts w:ascii="Calibri" w:hAnsi="Calibri" w:cs="Calibri"/>
          <w:lang w:val="en-GB"/>
        </w:rPr>
      </w:pPr>
    </w:p>
    <w:tbl>
      <w:tblPr>
        <w:tblStyle w:val="TableGrid"/>
        <w:tblW w:w="0" w:type="auto"/>
        <w:tblBorders>
          <w:top w:val="single" w:sz="8" w:space="0" w:color="BFBFBF" w:themeColor="background1" w:themeShade="BF"/>
          <w:left w:val="single" w:sz="8" w:space="0" w:color="BFBFBF" w:themeColor="background1" w:themeShade="BF"/>
          <w:bottom w:val="single" w:sz="8" w:space="0" w:color="BFBFBF" w:themeColor="background1" w:themeShade="BF"/>
          <w:right w:val="single" w:sz="8" w:space="0" w:color="BFBFBF" w:themeColor="background1" w:themeShade="BF"/>
          <w:insideH w:val="single" w:sz="8" w:space="0" w:color="BFBFBF" w:themeColor="background1" w:themeShade="BF"/>
          <w:insideV w:val="single" w:sz="8" w:space="0" w:color="BFBFBF" w:themeColor="background1" w:themeShade="BF"/>
        </w:tblBorders>
        <w:tblLayout w:type="fixed"/>
        <w:tblLook w:val="04A0" w:firstRow="1" w:lastRow="0" w:firstColumn="1" w:lastColumn="0" w:noHBand="0" w:noVBand="1"/>
      </w:tblPr>
      <w:tblGrid>
        <w:gridCol w:w="2065"/>
        <w:gridCol w:w="1980"/>
        <w:gridCol w:w="2430"/>
        <w:gridCol w:w="2541"/>
      </w:tblGrid>
      <w:tr w:rsidR="00770C44" w:rsidRPr="004725EE" w14:paraId="4EF17CAC" w14:textId="77777777" w:rsidTr="00CB4FD6">
        <w:trPr>
          <w:tblHeader/>
        </w:trPr>
        <w:tc>
          <w:tcPr>
            <w:tcW w:w="2065" w:type="dxa"/>
            <w:shd w:val="clear" w:color="auto" w:fill="FBE4D5" w:themeFill="accent2" w:themeFillTint="33"/>
          </w:tcPr>
          <w:p w14:paraId="35239945" w14:textId="77777777" w:rsidR="00875288" w:rsidRPr="00616282" w:rsidRDefault="00875288" w:rsidP="00B8566F">
            <w:pPr>
              <w:jc w:val="center"/>
              <w:rPr>
                <w:rFonts w:ascii="Calibri" w:hAnsi="Calibri" w:cs="Calibri"/>
                <w:b/>
                <w:bCs/>
                <w:color w:val="4472C4" w:themeColor="accent1"/>
                <w:lang w:val="en-GB"/>
              </w:rPr>
            </w:pPr>
            <w:r w:rsidRPr="00616282">
              <w:rPr>
                <w:rFonts w:ascii="Calibri" w:hAnsi="Calibri" w:cs="Calibri"/>
                <w:b/>
                <w:bCs/>
                <w:color w:val="4472C4" w:themeColor="accent1"/>
                <w:lang w:val="en-GB"/>
              </w:rPr>
              <w:t>CBK</w:t>
            </w:r>
          </w:p>
        </w:tc>
        <w:tc>
          <w:tcPr>
            <w:tcW w:w="4410" w:type="dxa"/>
            <w:gridSpan w:val="2"/>
            <w:shd w:val="clear" w:color="auto" w:fill="D9D9D9" w:themeFill="background1" w:themeFillShade="D9"/>
          </w:tcPr>
          <w:p w14:paraId="31BBC994" w14:textId="77777777" w:rsidR="00875288" w:rsidRPr="00616282" w:rsidRDefault="00875288" w:rsidP="00B8566F">
            <w:pPr>
              <w:jc w:val="center"/>
              <w:rPr>
                <w:rFonts w:ascii="Calibri" w:hAnsi="Calibri" w:cs="Calibri"/>
                <w:b/>
                <w:bCs/>
                <w:color w:val="4472C4" w:themeColor="accent1"/>
                <w:lang w:val="en-GB"/>
              </w:rPr>
            </w:pPr>
            <w:r w:rsidRPr="00616282">
              <w:rPr>
                <w:rFonts w:ascii="Calibri" w:hAnsi="Calibri" w:cs="Calibri"/>
                <w:b/>
                <w:bCs/>
                <w:color w:val="4472C4" w:themeColor="accent1"/>
                <w:lang w:val="en-GB"/>
              </w:rPr>
              <w:t>IFRS S2</w:t>
            </w:r>
          </w:p>
        </w:tc>
        <w:tc>
          <w:tcPr>
            <w:tcW w:w="2541" w:type="dxa"/>
            <w:vMerge w:val="restart"/>
            <w:shd w:val="clear" w:color="auto" w:fill="D9D9D9" w:themeFill="background1" w:themeFillShade="D9"/>
          </w:tcPr>
          <w:p w14:paraId="0C31009F" w14:textId="77777777" w:rsidR="00875288" w:rsidRPr="00616282" w:rsidRDefault="00875288" w:rsidP="00B8566F">
            <w:pPr>
              <w:jc w:val="center"/>
              <w:rPr>
                <w:rFonts w:ascii="Calibri" w:hAnsi="Calibri" w:cs="Calibri"/>
                <w:b/>
                <w:color w:val="4472C4" w:themeColor="accent1"/>
                <w:lang w:val="en-GB"/>
              </w:rPr>
            </w:pPr>
            <w:r w:rsidRPr="00616282">
              <w:rPr>
                <w:rFonts w:ascii="Calibri" w:hAnsi="Calibri" w:cs="Calibri"/>
                <w:b/>
                <w:color w:val="4472C4" w:themeColor="accent1"/>
                <w:lang w:val="en-GB"/>
              </w:rPr>
              <w:t>BCBS Principles</w:t>
            </w:r>
          </w:p>
        </w:tc>
      </w:tr>
      <w:tr w:rsidR="00CF74C0" w:rsidRPr="004725EE" w14:paraId="61157595" w14:textId="77777777" w:rsidTr="00CB4FD6">
        <w:trPr>
          <w:tblHeader/>
        </w:trPr>
        <w:tc>
          <w:tcPr>
            <w:tcW w:w="2065" w:type="dxa"/>
            <w:shd w:val="clear" w:color="auto" w:fill="FBE4D5" w:themeFill="accent2" w:themeFillTint="33"/>
          </w:tcPr>
          <w:p w14:paraId="2148B312" w14:textId="2425F704" w:rsidR="00875288" w:rsidRPr="00616282" w:rsidRDefault="00720E2E" w:rsidP="00B8566F">
            <w:pPr>
              <w:jc w:val="center"/>
              <w:rPr>
                <w:rFonts w:ascii="Calibri" w:hAnsi="Calibri" w:cs="Calibri"/>
                <w:b/>
                <w:bCs/>
                <w:color w:val="4472C4" w:themeColor="accent1"/>
                <w:lang w:val="en-GB"/>
              </w:rPr>
            </w:pPr>
            <w:r w:rsidRPr="00616282">
              <w:rPr>
                <w:rFonts w:ascii="Calibri" w:hAnsi="Calibri" w:cs="Calibri"/>
                <w:b/>
                <w:bCs/>
                <w:color w:val="4472C4" w:themeColor="accent1"/>
                <w:lang w:val="en-GB"/>
              </w:rPr>
              <w:t>Risk Management</w:t>
            </w:r>
          </w:p>
        </w:tc>
        <w:tc>
          <w:tcPr>
            <w:tcW w:w="1980" w:type="dxa"/>
            <w:shd w:val="clear" w:color="auto" w:fill="D9D9D9" w:themeFill="background1" w:themeFillShade="D9"/>
          </w:tcPr>
          <w:p w14:paraId="7D0A722E" w14:textId="77777777" w:rsidR="00875288" w:rsidRPr="00616282" w:rsidRDefault="00875288" w:rsidP="00B8566F">
            <w:pPr>
              <w:jc w:val="center"/>
              <w:rPr>
                <w:rFonts w:ascii="Calibri" w:hAnsi="Calibri" w:cs="Calibri"/>
                <w:b/>
                <w:bCs/>
                <w:color w:val="4472C4" w:themeColor="accent1"/>
                <w:lang w:val="en-GB"/>
              </w:rPr>
            </w:pPr>
            <w:r w:rsidRPr="00616282">
              <w:rPr>
                <w:rFonts w:ascii="Calibri" w:hAnsi="Calibri" w:cs="Calibri"/>
                <w:b/>
                <w:bCs/>
                <w:color w:val="4472C4" w:themeColor="accent1"/>
                <w:lang w:val="en-GB"/>
              </w:rPr>
              <w:t>Topic</w:t>
            </w:r>
          </w:p>
        </w:tc>
        <w:tc>
          <w:tcPr>
            <w:tcW w:w="2430" w:type="dxa"/>
            <w:shd w:val="clear" w:color="auto" w:fill="D9D9D9" w:themeFill="background1" w:themeFillShade="D9"/>
          </w:tcPr>
          <w:p w14:paraId="14CB5B34" w14:textId="77777777" w:rsidR="00875288" w:rsidRPr="00616282" w:rsidRDefault="00875288" w:rsidP="00B8566F">
            <w:pPr>
              <w:jc w:val="center"/>
              <w:rPr>
                <w:rFonts w:ascii="Calibri" w:hAnsi="Calibri" w:cs="Calibri"/>
                <w:b/>
                <w:bCs/>
                <w:color w:val="4472C4" w:themeColor="accent1"/>
                <w:lang w:val="en-GB"/>
              </w:rPr>
            </w:pPr>
            <w:r w:rsidRPr="00616282">
              <w:rPr>
                <w:rFonts w:ascii="Calibri" w:hAnsi="Calibri" w:cs="Calibri"/>
                <w:b/>
                <w:bCs/>
                <w:color w:val="4472C4" w:themeColor="accent1"/>
                <w:lang w:val="en-GB"/>
              </w:rPr>
              <w:t>Description</w:t>
            </w:r>
          </w:p>
        </w:tc>
        <w:tc>
          <w:tcPr>
            <w:tcW w:w="2541" w:type="dxa"/>
            <w:vMerge/>
            <w:shd w:val="clear" w:color="auto" w:fill="D9D9D9" w:themeFill="background1" w:themeFillShade="D9"/>
          </w:tcPr>
          <w:p w14:paraId="5876A38B" w14:textId="77777777" w:rsidR="00875288" w:rsidRPr="00616282" w:rsidRDefault="00875288" w:rsidP="00B8566F">
            <w:pPr>
              <w:jc w:val="center"/>
              <w:rPr>
                <w:rFonts w:ascii="Calibri" w:hAnsi="Calibri" w:cs="Calibri"/>
                <w:color w:val="4472C4" w:themeColor="accent1"/>
                <w:lang w:val="en-GB"/>
              </w:rPr>
            </w:pPr>
          </w:p>
        </w:tc>
      </w:tr>
      <w:tr w:rsidR="005E4C08" w:rsidRPr="004725EE" w14:paraId="439A081B" w14:textId="77777777" w:rsidTr="0090701E">
        <w:tc>
          <w:tcPr>
            <w:tcW w:w="2065" w:type="dxa"/>
            <w:vMerge w:val="restart"/>
            <w:shd w:val="clear" w:color="auto" w:fill="FBE4D5" w:themeFill="accent2" w:themeFillTint="33"/>
          </w:tcPr>
          <w:p w14:paraId="10817CC2" w14:textId="77777777" w:rsidR="00D61D17" w:rsidRPr="00616282" w:rsidRDefault="00D61D17" w:rsidP="0067774B">
            <w:pPr>
              <w:rPr>
                <w:rFonts w:ascii="Calibri" w:hAnsi="Calibri" w:cs="Calibri"/>
                <w:b/>
                <w:bCs/>
                <w:color w:val="4472C4" w:themeColor="accent1"/>
                <w:lang w:val="en-GB"/>
              </w:rPr>
            </w:pPr>
          </w:p>
          <w:p w14:paraId="38BE6C1A" w14:textId="14AB73AD" w:rsidR="005E4C08" w:rsidRPr="00616282" w:rsidRDefault="005E4C08" w:rsidP="0067774B">
            <w:pPr>
              <w:rPr>
                <w:rFonts w:ascii="Calibri" w:hAnsi="Calibri" w:cs="Calibri"/>
                <w:b/>
                <w:bCs/>
                <w:color w:val="4472C4" w:themeColor="accent1"/>
                <w:lang w:val="en-GB"/>
              </w:rPr>
            </w:pPr>
            <w:r w:rsidRPr="00616282">
              <w:rPr>
                <w:rFonts w:ascii="Calibri" w:hAnsi="Calibri" w:cs="Calibri"/>
                <w:b/>
                <w:bCs/>
                <w:color w:val="4472C4" w:themeColor="accent1"/>
                <w:lang w:val="en-GB"/>
              </w:rPr>
              <w:t>3.4.2 Risk identification and measurement</w:t>
            </w:r>
          </w:p>
          <w:p w14:paraId="7C45F1FD" w14:textId="77777777" w:rsidR="005E4C08" w:rsidRPr="00616282" w:rsidRDefault="005E4C08" w:rsidP="0067774B">
            <w:pPr>
              <w:rPr>
                <w:rFonts w:ascii="Calibri" w:hAnsi="Calibri" w:cs="Calibri"/>
                <w:b/>
                <w:bCs/>
                <w:color w:val="4472C4" w:themeColor="accent1"/>
                <w:lang w:val="en-GB"/>
              </w:rPr>
            </w:pPr>
          </w:p>
          <w:p w14:paraId="2261813B" w14:textId="77777777" w:rsidR="005E4C08" w:rsidRPr="00616282" w:rsidRDefault="005E4C08" w:rsidP="0067774B">
            <w:pPr>
              <w:rPr>
                <w:rFonts w:ascii="Calibri" w:hAnsi="Calibri" w:cs="Calibri"/>
                <w:b/>
                <w:bCs/>
                <w:color w:val="4472C4" w:themeColor="accent1"/>
                <w:lang w:val="en-GB"/>
              </w:rPr>
            </w:pPr>
            <w:r w:rsidRPr="00616282">
              <w:rPr>
                <w:rFonts w:ascii="Calibri" w:hAnsi="Calibri" w:cs="Calibri"/>
                <w:b/>
                <w:bCs/>
                <w:color w:val="4472C4" w:themeColor="accent1"/>
                <w:lang w:val="en-GB"/>
              </w:rPr>
              <w:t>3.4.3 Monitoring and Reporting</w:t>
            </w:r>
          </w:p>
          <w:p w14:paraId="11A773C0" w14:textId="77777777" w:rsidR="005E4C08" w:rsidRPr="00616282" w:rsidRDefault="005E4C08" w:rsidP="0067774B">
            <w:pPr>
              <w:rPr>
                <w:rFonts w:ascii="Calibri" w:hAnsi="Calibri" w:cs="Calibri"/>
                <w:b/>
                <w:bCs/>
                <w:color w:val="4472C4" w:themeColor="accent1"/>
                <w:lang w:val="en-GB"/>
              </w:rPr>
            </w:pPr>
          </w:p>
          <w:p w14:paraId="56B0C564" w14:textId="601052E2" w:rsidR="005E4C08" w:rsidRPr="00616282" w:rsidRDefault="005E4C08" w:rsidP="0067774B">
            <w:pPr>
              <w:rPr>
                <w:rFonts w:ascii="Calibri" w:hAnsi="Calibri" w:cs="Calibri"/>
                <w:b/>
                <w:bCs/>
                <w:color w:val="4472C4" w:themeColor="accent1"/>
                <w:lang w:val="en-GB"/>
              </w:rPr>
            </w:pPr>
            <w:r w:rsidRPr="00616282">
              <w:rPr>
                <w:rFonts w:ascii="Calibri" w:hAnsi="Calibri" w:cs="Calibri"/>
                <w:b/>
                <w:bCs/>
                <w:color w:val="4472C4" w:themeColor="accent1"/>
                <w:lang w:val="en-GB"/>
              </w:rPr>
              <w:t>3.4.4 Control and Mitigation</w:t>
            </w:r>
          </w:p>
        </w:tc>
        <w:tc>
          <w:tcPr>
            <w:tcW w:w="1980" w:type="dxa"/>
          </w:tcPr>
          <w:p w14:paraId="56917926" w14:textId="7F7FF5EC" w:rsidR="005E4C08" w:rsidRPr="00616282" w:rsidRDefault="005E4C08" w:rsidP="0067774B">
            <w:pPr>
              <w:rPr>
                <w:rFonts w:ascii="Calibri" w:hAnsi="Calibri" w:cs="Calibri"/>
                <w:color w:val="4472C4" w:themeColor="accent1"/>
                <w:lang w:val="en-GB"/>
              </w:rPr>
            </w:pPr>
            <w:r w:rsidRPr="00616282">
              <w:rPr>
                <w:rFonts w:ascii="Calibri" w:hAnsi="Calibri" w:cs="Calibri"/>
                <w:b/>
                <w:bCs/>
                <w:color w:val="4472C4" w:themeColor="accent1"/>
                <w:lang w:val="en-GB"/>
              </w:rPr>
              <w:t xml:space="preserve">Processes to identify, assess, </w:t>
            </w:r>
            <w:r w:rsidR="002B5887" w:rsidRPr="00616282">
              <w:rPr>
                <w:rFonts w:ascii="Calibri" w:hAnsi="Calibri" w:cs="Calibri"/>
                <w:b/>
                <w:bCs/>
                <w:color w:val="4472C4" w:themeColor="accent1"/>
                <w:lang w:val="en-GB"/>
              </w:rPr>
              <w:t>prioritize,</w:t>
            </w:r>
            <w:r w:rsidRPr="00616282">
              <w:rPr>
                <w:rFonts w:ascii="Calibri" w:hAnsi="Calibri" w:cs="Calibri"/>
                <w:b/>
                <w:bCs/>
                <w:color w:val="4472C4" w:themeColor="accent1"/>
                <w:lang w:val="en-GB"/>
              </w:rPr>
              <w:t xml:space="preserve"> and monitor climate-related risks</w:t>
            </w:r>
          </w:p>
        </w:tc>
        <w:tc>
          <w:tcPr>
            <w:tcW w:w="2430" w:type="dxa"/>
          </w:tcPr>
          <w:p w14:paraId="654B3D8E" w14:textId="45EF3256" w:rsidR="005E4C08" w:rsidRPr="00616282" w:rsidRDefault="005E4C08" w:rsidP="00CB4FD6">
            <w:pPr>
              <w:rPr>
                <w:rFonts w:ascii="Calibri" w:hAnsi="Calibri" w:cs="Calibri"/>
                <w:lang w:val="en-GB"/>
              </w:rPr>
            </w:pPr>
            <w:r w:rsidRPr="00616282">
              <w:rPr>
                <w:rFonts w:ascii="Calibri" w:hAnsi="Calibri" w:cs="Calibri"/>
                <w:lang w:val="en-GB"/>
              </w:rPr>
              <w:t xml:space="preserve">Details on what processes and policies are in place to identify, assess, prioritize, and monitor climate-related risks, including quantitative and qualitative analysis, prioritization and monitoring of the nature, </w:t>
            </w:r>
            <w:r w:rsidR="0014377D" w:rsidRPr="00616282">
              <w:rPr>
                <w:rFonts w:ascii="Calibri" w:hAnsi="Calibri" w:cs="Calibri"/>
                <w:lang w:val="en-GB"/>
              </w:rPr>
              <w:t>likelihood,</w:t>
            </w:r>
            <w:r w:rsidRPr="00616282">
              <w:rPr>
                <w:rFonts w:ascii="Calibri" w:hAnsi="Calibri" w:cs="Calibri"/>
                <w:lang w:val="en-GB"/>
              </w:rPr>
              <w:t xml:space="preserve"> and magnitude of climate risks.</w:t>
            </w:r>
          </w:p>
          <w:p w14:paraId="12854A94" w14:textId="77777777" w:rsidR="005E4C08" w:rsidRPr="00616282" w:rsidRDefault="005E4C08" w:rsidP="00CB4FD6">
            <w:pPr>
              <w:rPr>
                <w:rFonts w:ascii="Calibri" w:hAnsi="Calibri" w:cs="Calibri"/>
                <w:lang w:val="en-GB"/>
              </w:rPr>
            </w:pPr>
          </w:p>
          <w:p w14:paraId="25E18F42" w14:textId="77777777" w:rsidR="005E4C08" w:rsidRPr="00616282" w:rsidRDefault="005E4C08" w:rsidP="00CB4FD6">
            <w:pPr>
              <w:rPr>
                <w:rFonts w:ascii="Calibri" w:hAnsi="Calibri" w:cs="Calibri"/>
                <w:lang w:val="en-GB"/>
              </w:rPr>
            </w:pPr>
          </w:p>
        </w:tc>
        <w:tc>
          <w:tcPr>
            <w:tcW w:w="2541" w:type="dxa"/>
            <w:vMerge w:val="restart"/>
          </w:tcPr>
          <w:p w14:paraId="3A5018B7" w14:textId="166908B2" w:rsidR="005E4C08" w:rsidRPr="00616282" w:rsidRDefault="005E4C08" w:rsidP="00C35CA5">
            <w:pPr>
              <w:rPr>
                <w:rFonts w:ascii="Calibri" w:hAnsi="Calibri" w:cs="Calibri"/>
                <w:lang w:val="en-GB"/>
              </w:rPr>
            </w:pPr>
            <w:r w:rsidRPr="00616282">
              <w:rPr>
                <w:rFonts w:ascii="Calibri" w:hAnsi="Calibri" w:cs="Calibri"/>
                <w:b/>
                <w:bCs/>
                <w:lang w:val="en-GB"/>
              </w:rPr>
              <w:t>Principle 6:</w:t>
            </w:r>
            <w:r w:rsidRPr="00616282">
              <w:rPr>
                <w:rFonts w:ascii="Calibri" w:hAnsi="Calibri" w:cs="Calibri"/>
                <w:lang w:val="en-GB"/>
              </w:rPr>
              <w:t xml:space="preserve"> Banks should identify, </w:t>
            </w:r>
            <w:r w:rsidR="0014377D" w:rsidRPr="00616282">
              <w:rPr>
                <w:rFonts w:ascii="Calibri" w:hAnsi="Calibri" w:cs="Calibri"/>
                <w:lang w:val="en-GB"/>
              </w:rPr>
              <w:t>monitor,</w:t>
            </w:r>
            <w:r w:rsidRPr="00616282">
              <w:rPr>
                <w:rFonts w:ascii="Calibri" w:hAnsi="Calibri" w:cs="Calibri"/>
                <w:lang w:val="en-GB"/>
              </w:rPr>
              <w:t xml:space="preserve"> and manage all climate-related financial risks that could materially impair their financial condition, including their capital resources and liquidity positions. Banks should ensure that their risk appetite and risk management frameworks consider all material climate-related </w:t>
            </w:r>
            <w:r w:rsidR="00C35CA5">
              <w:rPr>
                <w:rFonts w:ascii="Calibri" w:hAnsi="Calibri" w:cs="Calibri"/>
                <w:lang w:val="en-GB"/>
              </w:rPr>
              <w:t xml:space="preserve">financial risk to </w:t>
            </w:r>
            <w:r w:rsidRPr="00616282">
              <w:rPr>
                <w:rFonts w:ascii="Calibri" w:hAnsi="Calibri" w:cs="Calibri"/>
                <w:lang w:val="en-GB"/>
              </w:rPr>
              <w:t xml:space="preserve">which they are exposed and establish a reliable approach to identifying, measuring, </w:t>
            </w:r>
            <w:r w:rsidR="0014377D" w:rsidRPr="00616282">
              <w:rPr>
                <w:rFonts w:ascii="Calibri" w:hAnsi="Calibri" w:cs="Calibri"/>
                <w:lang w:val="en-GB"/>
              </w:rPr>
              <w:t>monitoring,</w:t>
            </w:r>
            <w:r w:rsidRPr="00616282">
              <w:rPr>
                <w:rFonts w:ascii="Calibri" w:hAnsi="Calibri" w:cs="Calibri"/>
                <w:lang w:val="en-GB"/>
              </w:rPr>
              <w:t xml:space="preserve"> and managing those risks.</w:t>
            </w:r>
          </w:p>
          <w:p w14:paraId="0D7A2F37" w14:textId="77777777" w:rsidR="005E4C08" w:rsidRPr="00616282" w:rsidRDefault="005E4C08" w:rsidP="00CB4FD6">
            <w:pPr>
              <w:rPr>
                <w:rFonts w:ascii="Calibri" w:hAnsi="Calibri" w:cs="Calibri"/>
                <w:lang w:val="en-GB"/>
              </w:rPr>
            </w:pPr>
          </w:p>
          <w:p w14:paraId="59419265" w14:textId="0351B065" w:rsidR="005E4C08" w:rsidRPr="00616282" w:rsidRDefault="005E4C08" w:rsidP="00CB4FD6">
            <w:pPr>
              <w:rPr>
                <w:rFonts w:ascii="Calibri" w:hAnsi="Calibri" w:cs="Calibri"/>
                <w:lang w:val="en-GB"/>
              </w:rPr>
            </w:pPr>
            <w:r w:rsidRPr="00616282">
              <w:rPr>
                <w:rFonts w:ascii="Calibri" w:hAnsi="Calibri" w:cs="Calibri"/>
                <w:b/>
                <w:bCs/>
                <w:lang w:val="en-GB"/>
              </w:rPr>
              <w:lastRenderedPageBreak/>
              <w:t>Principle 12:</w:t>
            </w:r>
            <w:r w:rsidRPr="00616282">
              <w:rPr>
                <w:rFonts w:ascii="Calibri" w:hAnsi="Calibri" w:cs="Calibri"/>
                <w:lang w:val="en-GB"/>
              </w:rPr>
              <w:t xml:space="preserve"> Where appropriate, banks should make use of scenario analysis to assess the resilience of their business models and strategies to a range of plausible climate-related pathways and determine the impact of climate-related risk drivers on their overall risk profile. These analyses should consider physical and transition risks as drivers of credit, market, operational and liquidity risks (</w:t>
            </w:r>
            <w:r w:rsidRPr="00616282">
              <w:rPr>
                <w:rFonts w:ascii="Calibri" w:hAnsi="Calibri" w:cs="Calibri"/>
                <w:b/>
                <w:bCs/>
                <w:lang w:val="en-GB"/>
              </w:rPr>
              <w:t>Principles 8, 9, 10 and 11</w:t>
            </w:r>
            <w:r w:rsidRPr="00616282">
              <w:rPr>
                <w:rFonts w:ascii="Calibri" w:hAnsi="Calibri" w:cs="Calibri"/>
                <w:lang w:val="en-GB"/>
              </w:rPr>
              <w:t>) over a range of relevant time horizons.</w:t>
            </w:r>
          </w:p>
        </w:tc>
      </w:tr>
      <w:tr w:rsidR="005E4C08" w:rsidRPr="004725EE" w14:paraId="0DF03CAC" w14:textId="77777777" w:rsidTr="0090701E">
        <w:tc>
          <w:tcPr>
            <w:tcW w:w="2065" w:type="dxa"/>
            <w:vMerge/>
            <w:shd w:val="clear" w:color="auto" w:fill="FBE4D5" w:themeFill="accent2" w:themeFillTint="33"/>
          </w:tcPr>
          <w:p w14:paraId="58267E55" w14:textId="77777777" w:rsidR="005E4C08" w:rsidRPr="00616282" w:rsidRDefault="005E4C08" w:rsidP="0067774B">
            <w:pPr>
              <w:rPr>
                <w:rFonts w:ascii="Calibri" w:hAnsi="Calibri" w:cs="Calibri"/>
                <w:b/>
                <w:bCs/>
                <w:color w:val="003299"/>
                <w:lang w:val="en-GB"/>
              </w:rPr>
            </w:pPr>
          </w:p>
        </w:tc>
        <w:tc>
          <w:tcPr>
            <w:tcW w:w="1980" w:type="dxa"/>
          </w:tcPr>
          <w:p w14:paraId="57C96F00" w14:textId="567F63B6" w:rsidR="005E4C08" w:rsidRPr="00616282" w:rsidRDefault="005E4C08" w:rsidP="0067774B">
            <w:pPr>
              <w:autoSpaceDE w:val="0"/>
              <w:autoSpaceDN w:val="0"/>
              <w:adjustRightInd w:val="0"/>
              <w:rPr>
                <w:rFonts w:ascii="Calibri" w:hAnsi="Calibri" w:cs="Calibri"/>
                <w:color w:val="4472C4" w:themeColor="accent1"/>
                <w:lang w:val="en-GB"/>
              </w:rPr>
            </w:pPr>
            <w:r w:rsidRPr="00616282">
              <w:rPr>
                <w:rFonts w:ascii="Calibri" w:hAnsi="Calibri" w:cs="Calibri"/>
                <w:b/>
                <w:color w:val="4472C4" w:themeColor="accent1"/>
                <w:lang w:val="en-GB"/>
              </w:rPr>
              <w:t xml:space="preserve">Processes to identify, assess, </w:t>
            </w:r>
            <w:r w:rsidR="0014377D" w:rsidRPr="00616282">
              <w:rPr>
                <w:rFonts w:ascii="Calibri" w:hAnsi="Calibri" w:cs="Calibri"/>
                <w:b/>
                <w:color w:val="4472C4" w:themeColor="accent1"/>
                <w:lang w:val="en-GB"/>
              </w:rPr>
              <w:t>prioritise,</w:t>
            </w:r>
            <w:r w:rsidRPr="00616282">
              <w:rPr>
                <w:rFonts w:ascii="Calibri" w:hAnsi="Calibri" w:cs="Calibri"/>
                <w:b/>
                <w:color w:val="4472C4" w:themeColor="accent1"/>
                <w:lang w:val="en-GB"/>
              </w:rPr>
              <w:t xml:space="preserve"> and monitor</w:t>
            </w:r>
            <w:r w:rsidR="002B5887" w:rsidRPr="00616282">
              <w:rPr>
                <w:rFonts w:ascii="Calibri" w:hAnsi="Calibri" w:cs="Calibri"/>
                <w:b/>
                <w:color w:val="4472C4" w:themeColor="accent1"/>
                <w:lang w:val="en-GB"/>
              </w:rPr>
              <w:t xml:space="preserve"> </w:t>
            </w:r>
            <w:r w:rsidRPr="00616282">
              <w:rPr>
                <w:rFonts w:ascii="Calibri" w:hAnsi="Calibri" w:cs="Calibri"/>
                <w:b/>
                <w:color w:val="4472C4" w:themeColor="accent1"/>
                <w:lang w:val="en-GB"/>
              </w:rPr>
              <w:t>climate-related opportunities, including climate-related scenario analysis)</w:t>
            </w:r>
          </w:p>
        </w:tc>
        <w:tc>
          <w:tcPr>
            <w:tcW w:w="2430" w:type="dxa"/>
          </w:tcPr>
          <w:p w14:paraId="65B430F5" w14:textId="70212F28" w:rsidR="005E4C08" w:rsidRPr="00616282" w:rsidRDefault="005E4C08" w:rsidP="00CB4FD6">
            <w:pPr>
              <w:rPr>
                <w:rFonts w:ascii="Calibri" w:hAnsi="Calibri" w:cs="Calibri"/>
                <w:lang w:val="en-GB"/>
              </w:rPr>
            </w:pPr>
            <w:r w:rsidRPr="00616282">
              <w:rPr>
                <w:rFonts w:ascii="Calibri" w:hAnsi="Calibri" w:cs="Calibri"/>
                <w:lang w:val="en-GB"/>
              </w:rPr>
              <w:t xml:space="preserve">Details on what processes and policies are in place to identify, assess, </w:t>
            </w:r>
            <w:r w:rsidR="0014377D" w:rsidRPr="00616282">
              <w:rPr>
                <w:rFonts w:ascii="Calibri" w:hAnsi="Calibri" w:cs="Calibri"/>
                <w:lang w:val="en-GB"/>
              </w:rPr>
              <w:t>prioritize,</w:t>
            </w:r>
            <w:r w:rsidRPr="00616282">
              <w:rPr>
                <w:rFonts w:ascii="Calibri" w:hAnsi="Calibri" w:cs="Calibri"/>
                <w:lang w:val="en-GB"/>
              </w:rPr>
              <w:t xml:space="preserve"> and monitor climate-related opportunities, explanation of how the bank uses climate-</w:t>
            </w:r>
            <w:r w:rsidRPr="00616282">
              <w:rPr>
                <w:rFonts w:ascii="Calibri" w:hAnsi="Calibri" w:cs="Calibri"/>
                <w:lang w:val="en-GB"/>
              </w:rPr>
              <w:lastRenderedPageBreak/>
              <w:t>related scenario analysis to inform its identification of climate-related opportunities.</w:t>
            </w:r>
          </w:p>
        </w:tc>
        <w:tc>
          <w:tcPr>
            <w:tcW w:w="2541" w:type="dxa"/>
            <w:vMerge/>
          </w:tcPr>
          <w:p w14:paraId="4CC71EAA" w14:textId="77777777" w:rsidR="005E4C08" w:rsidRPr="00616282" w:rsidRDefault="005E4C08" w:rsidP="0067774B">
            <w:pPr>
              <w:pStyle w:val="NormalWeb"/>
              <w:rPr>
                <w:rFonts w:ascii="Calibri" w:hAnsi="Calibri" w:cs="Calibri"/>
                <w:lang w:val="en-GB"/>
              </w:rPr>
            </w:pPr>
          </w:p>
        </w:tc>
      </w:tr>
      <w:tr w:rsidR="005E4C08" w:rsidRPr="004725EE" w14:paraId="1329FC0A" w14:textId="77777777" w:rsidTr="0090701E">
        <w:tc>
          <w:tcPr>
            <w:tcW w:w="2065" w:type="dxa"/>
            <w:vMerge/>
            <w:shd w:val="clear" w:color="auto" w:fill="FBE4D5" w:themeFill="accent2" w:themeFillTint="33"/>
          </w:tcPr>
          <w:p w14:paraId="5521A1E8" w14:textId="77777777" w:rsidR="005E4C08" w:rsidRPr="00616282" w:rsidRDefault="005E4C08" w:rsidP="0067774B">
            <w:pPr>
              <w:rPr>
                <w:rFonts w:ascii="Calibri" w:hAnsi="Calibri" w:cs="Calibri"/>
                <w:b/>
                <w:bCs/>
                <w:color w:val="003299"/>
                <w:lang w:val="en-GB"/>
              </w:rPr>
            </w:pPr>
          </w:p>
        </w:tc>
        <w:tc>
          <w:tcPr>
            <w:tcW w:w="1980" w:type="dxa"/>
          </w:tcPr>
          <w:p w14:paraId="064D2158" w14:textId="441AFCE7" w:rsidR="005E4C08" w:rsidRPr="00616282" w:rsidRDefault="005E4C08" w:rsidP="0067774B">
            <w:pPr>
              <w:rPr>
                <w:rFonts w:ascii="Calibri" w:hAnsi="Calibri" w:cs="Calibri"/>
                <w:color w:val="4472C4" w:themeColor="accent1"/>
                <w:lang w:val="en-GB"/>
              </w:rPr>
            </w:pPr>
            <w:r w:rsidRPr="00616282">
              <w:rPr>
                <w:rFonts w:ascii="Calibri" w:hAnsi="Calibri" w:cs="Calibri"/>
                <w:b/>
                <w:bCs/>
                <w:color w:val="4472C4" w:themeColor="accent1"/>
                <w:lang w:val="en-GB"/>
              </w:rPr>
              <w:t xml:space="preserve">Processes to identify, assess, </w:t>
            </w:r>
            <w:r w:rsidR="0014377D" w:rsidRPr="00616282">
              <w:rPr>
                <w:rFonts w:ascii="Calibri" w:hAnsi="Calibri" w:cs="Calibri"/>
                <w:b/>
                <w:bCs/>
                <w:color w:val="4472C4" w:themeColor="accent1"/>
                <w:lang w:val="en-GB"/>
              </w:rPr>
              <w:t>prioritize,</w:t>
            </w:r>
            <w:r w:rsidRPr="00616282">
              <w:rPr>
                <w:rFonts w:ascii="Calibri" w:hAnsi="Calibri" w:cs="Calibri"/>
                <w:b/>
                <w:bCs/>
                <w:color w:val="4472C4" w:themeColor="accent1"/>
                <w:lang w:val="en-GB"/>
              </w:rPr>
              <w:t xml:space="preserve"> and monitor climate-related risks</w:t>
            </w:r>
          </w:p>
        </w:tc>
        <w:tc>
          <w:tcPr>
            <w:tcW w:w="2430" w:type="dxa"/>
          </w:tcPr>
          <w:p w14:paraId="5804DB33" w14:textId="5A650EFF" w:rsidR="005E4C08" w:rsidRPr="00616282" w:rsidRDefault="005E4C08" w:rsidP="00CB4FD6">
            <w:pPr>
              <w:rPr>
                <w:rFonts w:ascii="Calibri" w:hAnsi="Calibri" w:cs="Calibri"/>
                <w:lang w:val="en-GB"/>
              </w:rPr>
            </w:pPr>
            <w:r w:rsidRPr="00616282">
              <w:rPr>
                <w:rFonts w:ascii="Calibri" w:hAnsi="Calibri" w:cs="Calibri"/>
                <w:lang w:val="en-GB"/>
              </w:rPr>
              <w:t xml:space="preserve">Details on what processes and policies are in place to identify, assess, prioritize, and monitor climate-related risks, including quantitative and qualitative analysis, prioritization and monitoring of the nature, </w:t>
            </w:r>
            <w:r w:rsidR="0014377D" w:rsidRPr="00616282">
              <w:rPr>
                <w:rFonts w:ascii="Calibri" w:hAnsi="Calibri" w:cs="Calibri"/>
                <w:lang w:val="en-GB"/>
              </w:rPr>
              <w:t>likelihood,</w:t>
            </w:r>
            <w:r w:rsidRPr="00616282">
              <w:rPr>
                <w:rFonts w:ascii="Calibri" w:hAnsi="Calibri" w:cs="Calibri"/>
                <w:lang w:val="en-GB"/>
              </w:rPr>
              <w:t xml:space="preserve"> and magnitude of climate risks.</w:t>
            </w:r>
          </w:p>
        </w:tc>
        <w:tc>
          <w:tcPr>
            <w:tcW w:w="2541" w:type="dxa"/>
          </w:tcPr>
          <w:p w14:paraId="47EFF1D0" w14:textId="77777777" w:rsidR="005E4C08" w:rsidRPr="00616282" w:rsidRDefault="005E4C08" w:rsidP="0067774B">
            <w:pPr>
              <w:autoSpaceDE w:val="0"/>
              <w:autoSpaceDN w:val="0"/>
              <w:adjustRightInd w:val="0"/>
              <w:rPr>
                <w:rFonts w:ascii="Calibri" w:hAnsi="Calibri" w:cs="Calibri"/>
                <w:lang w:val="en-GB"/>
              </w:rPr>
            </w:pPr>
            <w:r w:rsidRPr="00616282">
              <w:rPr>
                <w:rFonts w:ascii="Calibri" w:hAnsi="Calibri" w:cs="Calibri"/>
                <w:b/>
                <w:bCs/>
                <w:lang w:val="en-GB"/>
              </w:rPr>
              <w:t>Principle 7</w:t>
            </w:r>
            <w:r w:rsidRPr="00616282">
              <w:rPr>
                <w:rFonts w:ascii="Calibri" w:hAnsi="Calibri" w:cs="Calibri"/>
                <w:lang w:val="en-GB"/>
              </w:rPr>
              <w:t>: Risk data aggregation capabilities and internal risk reporting practices should account for</w:t>
            </w:r>
          </w:p>
          <w:p w14:paraId="4D5A1023" w14:textId="3BAAAF55" w:rsidR="005E4C08" w:rsidRPr="00616282" w:rsidRDefault="005E4C08" w:rsidP="00CB4FD6">
            <w:pPr>
              <w:autoSpaceDE w:val="0"/>
              <w:autoSpaceDN w:val="0"/>
              <w:adjustRightInd w:val="0"/>
              <w:rPr>
                <w:rFonts w:ascii="Calibri" w:hAnsi="Calibri" w:cs="Calibri"/>
                <w:lang w:val="en-GB"/>
              </w:rPr>
            </w:pPr>
            <w:r w:rsidRPr="00616282">
              <w:rPr>
                <w:rFonts w:ascii="Calibri" w:hAnsi="Calibri" w:cs="Calibri"/>
                <w:lang w:val="en-GB"/>
              </w:rPr>
              <w:t>climate-related financial risks. Banks should seek to ensure that their internal reporting systems are capable of monitoring material climate-related financial risks and producing timely information to ensure effective board and senior management decision-making</w:t>
            </w:r>
          </w:p>
        </w:tc>
      </w:tr>
    </w:tbl>
    <w:p w14:paraId="3B770475" w14:textId="77777777" w:rsidR="005C24D1" w:rsidRPr="00616282" w:rsidRDefault="005C24D1" w:rsidP="00FB0DA0">
      <w:pPr>
        <w:outlineLvl w:val="0"/>
        <w:rPr>
          <w:rFonts w:ascii="Calibri" w:hAnsi="Calibri" w:cs="Calibri"/>
          <w:b/>
          <w:bCs/>
          <w:color w:val="ED7D31" w:themeColor="accent2"/>
          <w:lang w:val="en-GB"/>
        </w:rPr>
      </w:pPr>
    </w:p>
    <w:p w14:paraId="226D8385" w14:textId="77777777" w:rsidR="00157082" w:rsidRDefault="00157082">
      <w:pPr>
        <w:rPr>
          <w:rFonts w:ascii="Calibri" w:eastAsiaTheme="majorEastAsia" w:hAnsi="Calibri" w:cs="Calibri"/>
          <w:color w:val="1F3763" w:themeColor="accent1" w:themeShade="7F"/>
          <w:sz w:val="22"/>
          <w:lang w:val="en-GB"/>
        </w:rPr>
      </w:pPr>
      <w:bookmarkStart w:id="76" w:name="_Toc167079302"/>
      <w:bookmarkStart w:id="77" w:name="_Toc167079491"/>
      <w:bookmarkStart w:id="78" w:name="_Toc171908188"/>
      <w:r>
        <w:rPr>
          <w:rFonts w:ascii="Calibri" w:hAnsi="Calibri" w:cs="Calibri"/>
          <w:lang w:val="en-GB"/>
        </w:rPr>
        <w:br w:type="page"/>
      </w:r>
    </w:p>
    <w:p w14:paraId="2E54B2F9" w14:textId="4C34D8C9" w:rsidR="00E87C8D" w:rsidRPr="00616282" w:rsidRDefault="008244BE" w:rsidP="00B720D9">
      <w:pPr>
        <w:pStyle w:val="Heading3"/>
        <w:rPr>
          <w:rFonts w:ascii="Calibri" w:hAnsi="Calibri" w:cs="Calibri"/>
          <w:lang w:val="en-GB"/>
        </w:rPr>
      </w:pPr>
      <w:r w:rsidRPr="00616282">
        <w:rPr>
          <w:rFonts w:ascii="Calibri" w:hAnsi="Calibri" w:cs="Calibri"/>
          <w:lang w:val="en-GB"/>
        </w:rPr>
        <w:lastRenderedPageBreak/>
        <w:t>Best practice</w:t>
      </w:r>
      <w:r w:rsidR="00E87C8D" w:rsidRPr="00616282">
        <w:rPr>
          <w:rFonts w:ascii="Calibri" w:hAnsi="Calibri" w:cs="Calibri"/>
          <w:lang w:val="en-GB"/>
        </w:rPr>
        <w:t xml:space="preserve"> on risk management</w:t>
      </w:r>
      <w:bookmarkEnd w:id="76"/>
      <w:bookmarkEnd w:id="77"/>
      <w:bookmarkEnd w:id="78"/>
    </w:p>
    <w:p w14:paraId="606A959A" w14:textId="77777777" w:rsidR="00EB07C0" w:rsidRPr="00616282" w:rsidRDefault="00EB07C0" w:rsidP="0046333A">
      <w:pPr>
        <w:jc w:val="both"/>
        <w:rPr>
          <w:rFonts w:ascii="Calibri" w:hAnsi="Calibri" w:cs="Calibri"/>
          <w:lang w:val="en-GB"/>
        </w:rPr>
      </w:pPr>
    </w:p>
    <w:p w14:paraId="57414184" w14:textId="24B2DCE2" w:rsidR="00FE35C7" w:rsidRPr="00616282" w:rsidRDefault="00C46F7B" w:rsidP="0046333A">
      <w:pPr>
        <w:jc w:val="both"/>
        <w:rPr>
          <w:rFonts w:ascii="Calibri" w:hAnsi="Calibri" w:cs="Calibri"/>
          <w:lang w:val="en-GB"/>
        </w:rPr>
      </w:pPr>
      <w:r w:rsidRPr="00616282">
        <w:rPr>
          <w:rFonts w:ascii="Calibri" w:hAnsi="Calibri" w:cs="Calibri"/>
          <w:lang w:val="en-GB"/>
        </w:rPr>
        <w:t>Banks should a</w:t>
      </w:r>
      <w:r w:rsidR="004572AA" w:rsidRPr="00616282">
        <w:rPr>
          <w:rFonts w:ascii="Calibri" w:hAnsi="Calibri" w:cs="Calibri"/>
          <w:lang w:val="en-GB"/>
        </w:rPr>
        <w:t>pply</w:t>
      </w:r>
      <w:r w:rsidRPr="00616282">
        <w:rPr>
          <w:rFonts w:ascii="Calibri" w:hAnsi="Calibri" w:cs="Calibri"/>
          <w:lang w:val="en-GB"/>
        </w:rPr>
        <w:t xml:space="preserve"> </w:t>
      </w:r>
      <w:r w:rsidR="001F3E1B" w:rsidRPr="00616282">
        <w:rPr>
          <w:rFonts w:ascii="Calibri" w:hAnsi="Calibri" w:cs="Calibri"/>
          <w:lang w:val="en-GB"/>
        </w:rPr>
        <w:t xml:space="preserve">a robust </w:t>
      </w:r>
      <w:r w:rsidR="004A1983" w:rsidRPr="00616282">
        <w:rPr>
          <w:rFonts w:ascii="Calibri" w:hAnsi="Calibri" w:cs="Calibri"/>
          <w:lang w:val="en-GB"/>
        </w:rPr>
        <w:t xml:space="preserve">climate risk management </w:t>
      </w:r>
      <w:r w:rsidR="0047648C" w:rsidRPr="00616282">
        <w:rPr>
          <w:rFonts w:ascii="Calibri" w:hAnsi="Calibri" w:cs="Calibri"/>
          <w:lang w:val="en-GB"/>
        </w:rPr>
        <w:t>process</w:t>
      </w:r>
      <w:r w:rsidR="004572AA" w:rsidRPr="00616282">
        <w:rPr>
          <w:rFonts w:ascii="Calibri" w:hAnsi="Calibri" w:cs="Calibri"/>
          <w:lang w:val="en-GB"/>
        </w:rPr>
        <w:t xml:space="preserve"> </w:t>
      </w:r>
      <w:r w:rsidR="0090439D" w:rsidRPr="00616282">
        <w:rPr>
          <w:rFonts w:ascii="Calibri" w:hAnsi="Calibri" w:cs="Calibri"/>
          <w:lang w:val="en-GB"/>
        </w:rPr>
        <w:t xml:space="preserve">to safeguard </w:t>
      </w:r>
      <w:r w:rsidR="001F3E1B" w:rsidRPr="00616282">
        <w:rPr>
          <w:rFonts w:ascii="Calibri" w:hAnsi="Calibri" w:cs="Calibri"/>
          <w:lang w:val="en-GB"/>
        </w:rPr>
        <w:t xml:space="preserve">assets </w:t>
      </w:r>
      <w:r w:rsidR="00860A58" w:rsidRPr="00616282">
        <w:rPr>
          <w:rFonts w:ascii="Calibri" w:hAnsi="Calibri" w:cs="Calibri"/>
          <w:lang w:val="en-GB"/>
        </w:rPr>
        <w:t xml:space="preserve">against climate-related risks. </w:t>
      </w:r>
      <w:r w:rsidR="00E8235F" w:rsidRPr="00616282">
        <w:rPr>
          <w:rFonts w:ascii="Calibri" w:hAnsi="Calibri" w:cs="Calibri"/>
          <w:lang w:val="en-GB"/>
        </w:rPr>
        <w:t>T</w:t>
      </w:r>
      <w:r w:rsidR="00FB4E9E" w:rsidRPr="00616282">
        <w:rPr>
          <w:rFonts w:ascii="Calibri" w:hAnsi="Calibri" w:cs="Calibri"/>
          <w:lang w:val="en-GB"/>
        </w:rPr>
        <w:t xml:space="preserve">he process should start with </w:t>
      </w:r>
      <w:r w:rsidR="00FB4E9E" w:rsidRPr="00616282">
        <w:rPr>
          <w:rFonts w:ascii="Calibri" w:hAnsi="Calibri" w:cs="Calibri"/>
          <w:b/>
          <w:bCs/>
          <w:color w:val="4472C4" w:themeColor="accent1"/>
        </w:rPr>
        <w:t>risk identif</w:t>
      </w:r>
      <w:r w:rsidR="00C06999" w:rsidRPr="00616282">
        <w:rPr>
          <w:rFonts w:ascii="Calibri" w:hAnsi="Calibri" w:cs="Calibri"/>
          <w:b/>
          <w:bCs/>
          <w:color w:val="4472C4" w:themeColor="accent1"/>
        </w:rPr>
        <w:t>ication</w:t>
      </w:r>
      <w:r w:rsidR="000B4D2F" w:rsidRPr="00616282">
        <w:rPr>
          <w:rFonts w:ascii="Calibri" w:hAnsi="Calibri" w:cs="Calibri"/>
          <w:lang w:val="en-GB"/>
        </w:rPr>
        <w:t>, where banks would identify</w:t>
      </w:r>
      <w:r w:rsidR="00386484" w:rsidRPr="00616282">
        <w:rPr>
          <w:rFonts w:ascii="Calibri" w:hAnsi="Calibri" w:cs="Calibri"/>
          <w:lang w:val="en-GB"/>
        </w:rPr>
        <w:t xml:space="preserve"> the</w:t>
      </w:r>
      <w:r w:rsidR="000B4D2F" w:rsidRPr="00616282">
        <w:rPr>
          <w:rFonts w:ascii="Calibri" w:hAnsi="Calibri" w:cs="Calibri"/>
          <w:lang w:val="en-GB"/>
        </w:rPr>
        <w:t xml:space="preserve"> potential climate risks</w:t>
      </w:r>
      <w:r w:rsidR="00F97965" w:rsidRPr="00616282">
        <w:rPr>
          <w:rFonts w:ascii="Calibri" w:hAnsi="Calibri" w:cs="Calibri"/>
          <w:lang w:val="en-GB"/>
        </w:rPr>
        <w:t xml:space="preserve"> through </w:t>
      </w:r>
      <w:r w:rsidR="00937A0B" w:rsidRPr="00616282">
        <w:rPr>
          <w:rFonts w:ascii="Calibri" w:hAnsi="Calibri" w:cs="Calibri"/>
          <w:lang w:val="en-GB"/>
        </w:rPr>
        <w:t>materiality assessment</w:t>
      </w:r>
      <w:r w:rsidR="00C35CA5">
        <w:rPr>
          <w:rFonts w:ascii="Calibri" w:hAnsi="Calibri" w:cs="Calibri"/>
          <w:lang w:val="en-GB"/>
        </w:rPr>
        <w:t>,</w:t>
      </w:r>
      <w:r w:rsidR="00EA5446" w:rsidRPr="00616282">
        <w:rPr>
          <w:rFonts w:ascii="Calibri" w:hAnsi="Calibri" w:cs="Calibri"/>
          <w:lang w:val="en-GB"/>
        </w:rPr>
        <w:t xml:space="preserve"> followed by </w:t>
      </w:r>
      <w:r w:rsidR="00EA5446" w:rsidRPr="00616282">
        <w:rPr>
          <w:rFonts w:ascii="Calibri" w:hAnsi="Calibri" w:cs="Calibri"/>
          <w:b/>
          <w:bCs/>
          <w:color w:val="4472C4" w:themeColor="accent1"/>
        </w:rPr>
        <w:t>risk assessment</w:t>
      </w:r>
      <w:r w:rsidR="00EA5446" w:rsidRPr="00616282">
        <w:rPr>
          <w:rFonts w:ascii="Calibri" w:hAnsi="Calibri" w:cs="Calibri"/>
          <w:lang w:val="en-GB"/>
        </w:rPr>
        <w:t xml:space="preserve"> </w:t>
      </w:r>
      <w:r w:rsidR="00C47D0C" w:rsidRPr="00616282">
        <w:rPr>
          <w:rFonts w:ascii="Calibri" w:hAnsi="Calibri" w:cs="Calibri"/>
          <w:lang w:val="en-GB"/>
        </w:rPr>
        <w:t>to identify their exposures against both physical and transition risks</w:t>
      </w:r>
      <w:r w:rsidR="00350867" w:rsidRPr="00616282">
        <w:rPr>
          <w:rFonts w:ascii="Calibri" w:hAnsi="Calibri" w:cs="Calibri"/>
          <w:lang w:val="en-GB"/>
        </w:rPr>
        <w:t xml:space="preserve">. </w:t>
      </w:r>
      <w:r w:rsidR="00C63A77" w:rsidRPr="00616282">
        <w:rPr>
          <w:rFonts w:ascii="Calibri" w:hAnsi="Calibri" w:cs="Calibri"/>
          <w:lang w:val="en-GB"/>
        </w:rPr>
        <w:t xml:space="preserve">Once exposures are assessed, banks should start </w:t>
      </w:r>
      <w:r w:rsidR="00FE35C7" w:rsidRPr="00616282">
        <w:rPr>
          <w:rFonts w:ascii="Calibri" w:hAnsi="Calibri" w:cs="Calibri"/>
          <w:lang w:val="en-GB"/>
        </w:rPr>
        <w:t>exploring</w:t>
      </w:r>
      <w:r w:rsidR="004C2A3A" w:rsidRPr="00616282">
        <w:rPr>
          <w:rFonts w:ascii="Calibri" w:hAnsi="Calibri" w:cs="Calibri"/>
          <w:lang w:val="en-GB"/>
        </w:rPr>
        <w:t xml:space="preserve"> </w:t>
      </w:r>
      <w:r w:rsidR="00340370" w:rsidRPr="00616282">
        <w:rPr>
          <w:rFonts w:ascii="Calibri" w:hAnsi="Calibri" w:cs="Calibri"/>
          <w:lang w:val="en-GB"/>
        </w:rPr>
        <w:t xml:space="preserve">applying portfolio alignment methods to </w:t>
      </w:r>
      <w:r w:rsidR="00A16B2A" w:rsidRPr="00616282">
        <w:rPr>
          <w:rFonts w:ascii="Calibri" w:hAnsi="Calibri" w:cs="Calibri"/>
          <w:lang w:val="en-GB"/>
        </w:rPr>
        <w:t>deli</w:t>
      </w:r>
      <w:r w:rsidR="00A83107" w:rsidRPr="00616282">
        <w:rPr>
          <w:rFonts w:ascii="Calibri" w:hAnsi="Calibri" w:cs="Calibri"/>
          <w:lang w:val="en-GB"/>
        </w:rPr>
        <w:t xml:space="preserve">neate their portfolios against </w:t>
      </w:r>
      <w:r w:rsidR="001855B9" w:rsidRPr="00616282">
        <w:rPr>
          <w:rFonts w:ascii="Calibri" w:hAnsi="Calibri" w:cs="Calibri"/>
          <w:lang w:val="en-GB"/>
        </w:rPr>
        <w:t>LT-LEDS low-carbon pathways for potentially material sectors they finance.</w:t>
      </w:r>
      <w:r w:rsidR="001F3E3B" w:rsidRPr="00616282">
        <w:rPr>
          <w:rFonts w:ascii="Calibri" w:hAnsi="Calibri" w:cs="Calibri"/>
          <w:lang w:val="en-GB"/>
        </w:rPr>
        <w:t xml:space="preserve"> At the very last step, bank should start </w:t>
      </w:r>
      <w:r w:rsidR="00E23244" w:rsidRPr="00616282">
        <w:rPr>
          <w:rFonts w:ascii="Calibri" w:hAnsi="Calibri" w:cs="Calibri"/>
          <w:lang w:val="en-GB"/>
        </w:rPr>
        <w:t>defining</w:t>
      </w:r>
      <w:r w:rsidR="00A671A5" w:rsidRPr="00616282">
        <w:rPr>
          <w:rFonts w:ascii="Calibri" w:hAnsi="Calibri" w:cs="Calibri"/>
          <w:lang w:val="en-GB"/>
        </w:rPr>
        <w:t xml:space="preserve"> methodolog</w:t>
      </w:r>
      <w:r w:rsidR="00E23244" w:rsidRPr="00616282">
        <w:rPr>
          <w:rFonts w:ascii="Calibri" w:hAnsi="Calibri" w:cs="Calibri"/>
          <w:lang w:val="en-GB"/>
        </w:rPr>
        <w:t>ies</w:t>
      </w:r>
      <w:r w:rsidR="00A671A5" w:rsidRPr="00616282">
        <w:rPr>
          <w:rFonts w:ascii="Calibri" w:hAnsi="Calibri" w:cs="Calibri"/>
          <w:lang w:val="en-GB"/>
        </w:rPr>
        <w:t xml:space="preserve"> and approach</w:t>
      </w:r>
      <w:r w:rsidR="00E23244" w:rsidRPr="00616282">
        <w:rPr>
          <w:rFonts w:ascii="Calibri" w:hAnsi="Calibri" w:cs="Calibri"/>
          <w:lang w:val="en-GB"/>
        </w:rPr>
        <w:t>es</w:t>
      </w:r>
      <w:r w:rsidR="00A671A5" w:rsidRPr="00616282">
        <w:rPr>
          <w:rFonts w:ascii="Calibri" w:hAnsi="Calibri" w:cs="Calibri"/>
          <w:lang w:val="en-GB"/>
        </w:rPr>
        <w:t xml:space="preserve"> for conducting climate</w:t>
      </w:r>
      <w:r w:rsidR="00E70B72" w:rsidRPr="00616282">
        <w:rPr>
          <w:rFonts w:ascii="Calibri" w:hAnsi="Calibri" w:cs="Calibri"/>
          <w:lang w:val="en-GB"/>
        </w:rPr>
        <w:t xml:space="preserve"> scenario analysis</w:t>
      </w:r>
      <w:r w:rsidR="00C35CA5">
        <w:rPr>
          <w:rFonts w:ascii="Calibri" w:hAnsi="Calibri" w:cs="Calibri"/>
          <w:lang w:val="en-GB"/>
        </w:rPr>
        <w:t>,</w:t>
      </w:r>
      <w:r w:rsidR="00E70B72" w:rsidRPr="00616282">
        <w:rPr>
          <w:rFonts w:ascii="Calibri" w:hAnsi="Calibri" w:cs="Calibri"/>
          <w:lang w:val="en-GB"/>
        </w:rPr>
        <w:t xml:space="preserve"> including stress-</w:t>
      </w:r>
      <w:r w:rsidR="00A671A5" w:rsidRPr="00616282">
        <w:rPr>
          <w:rFonts w:ascii="Calibri" w:hAnsi="Calibri" w:cs="Calibri"/>
          <w:lang w:val="en-GB"/>
        </w:rPr>
        <w:t>testing</w:t>
      </w:r>
      <w:r w:rsidR="00E70B72" w:rsidRPr="00616282">
        <w:rPr>
          <w:rFonts w:ascii="Calibri" w:hAnsi="Calibri" w:cs="Calibri"/>
          <w:lang w:val="en-GB"/>
        </w:rPr>
        <w:t xml:space="preserve">. </w:t>
      </w:r>
      <w:r w:rsidR="003151D3" w:rsidRPr="00616282">
        <w:rPr>
          <w:rFonts w:ascii="Calibri" w:hAnsi="Calibri" w:cs="Calibri"/>
          <w:lang w:val="en-GB"/>
        </w:rPr>
        <w:t>Banks commonly a</w:t>
      </w:r>
      <w:r w:rsidR="00A671A5" w:rsidRPr="00616282">
        <w:rPr>
          <w:rFonts w:ascii="Calibri" w:hAnsi="Calibri" w:cs="Calibri"/>
          <w:lang w:val="en-GB"/>
        </w:rPr>
        <w:t>d</w:t>
      </w:r>
      <w:r w:rsidR="003151D3" w:rsidRPr="00616282">
        <w:rPr>
          <w:rFonts w:ascii="Calibri" w:hAnsi="Calibri" w:cs="Calibri"/>
          <w:lang w:val="en-GB"/>
        </w:rPr>
        <w:t>apt a</w:t>
      </w:r>
      <w:r w:rsidR="00A671A5" w:rsidRPr="00616282">
        <w:rPr>
          <w:rFonts w:ascii="Calibri" w:hAnsi="Calibri" w:cs="Calibri"/>
          <w:lang w:val="en-GB"/>
        </w:rPr>
        <w:t xml:space="preserve"> selection of climate scenarios to assess macroeconomic and financial risks (</w:t>
      </w:r>
      <w:r w:rsidR="004D0C64" w:rsidRPr="00616282">
        <w:rPr>
          <w:rFonts w:ascii="Calibri" w:hAnsi="Calibri" w:cs="Calibri"/>
          <w:lang w:val="en-GB"/>
        </w:rPr>
        <w:t>e.g.,</w:t>
      </w:r>
      <w:r w:rsidR="00A671A5" w:rsidRPr="00616282">
        <w:rPr>
          <w:rFonts w:ascii="Calibri" w:hAnsi="Calibri" w:cs="Calibri"/>
          <w:lang w:val="en-GB"/>
        </w:rPr>
        <w:t xml:space="preserve"> Network for Greening the Financial </w:t>
      </w:r>
      <w:r w:rsidR="00EE757B" w:rsidRPr="00616282">
        <w:rPr>
          <w:rFonts w:ascii="Calibri" w:hAnsi="Calibri" w:cs="Calibri"/>
          <w:lang w:val="en-GB"/>
        </w:rPr>
        <w:t>System (NGFS) models)</w:t>
      </w:r>
      <w:r w:rsidR="007635F3" w:rsidRPr="00616282">
        <w:rPr>
          <w:rFonts w:ascii="Calibri" w:hAnsi="Calibri" w:cs="Calibri"/>
          <w:lang w:val="en-GB"/>
        </w:rPr>
        <w:t xml:space="preserve"> and calculate the </w:t>
      </w:r>
      <w:r w:rsidR="00B040F6" w:rsidRPr="00616282">
        <w:rPr>
          <w:rFonts w:ascii="Calibri" w:hAnsi="Calibri" w:cs="Calibri"/>
          <w:lang w:val="en-GB"/>
        </w:rPr>
        <w:t xml:space="preserve">difference between stressed portfolio PD and baseline PD values </w:t>
      </w:r>
      <w:r w:rsidR="004B6E92" w:rsidRPr="00616282">
        <w:rPr>
          <w:rFonts w:ascii="Calibri" w:hAnsi="Calibri" w:cs="Calibri"/>
          <w:lang w:val="en-GB"/>
        </w:rPr>
        <w:t>to</w:t>
      </w:r>
      <w:r w:rsidR="00B040F6" w:rsidRPr="00616282">
        <w:rPr>
          <w:rFonts w:ascii="Calibri" w:hAnsi="Calibri" w:cs="Calibri"/>
          <w:lang w:val="en-GB"/>
        </w:rPr>
        <w:t xml:space="preserve"> allocate</w:t>
      </w:r>
      <w:r w:rsidR="00E23244" w:rsidRPr="00616282">
        <w:rPr>
          <w:rFonts w:ascii="Calibri" w:hAnsi="Calibri" w:cs="Calibri"/>
          <w:lang w:val="en-GB"/>
        </w:rPr>
        <w:t xml:space="preserve"> additional capital buffers </w:t>
      </w:r>
      <w:r w:rsidR="00FE35C7" w:rsidRPr="00616282">
        <w:rPr>
          <w:rFonts w:ascii="Calibri" w:hAnsi="Calibri" w:cs="Calibri"/>
          <w:lang w:val="en-GB"/>
        </w:rPr>
        <w:t xml:space="preserve">for </w:t>
      </w:r>
      <w:r w:rsidR="00C35CA5">
        <w:rPr>
          <w:rFonts w:ascii="Calibri" w:hAnsi="Calibri" w:cs="Calibri"/>
          <w:lang w:val="en-GB"/>
        </w:rPr>
        <w:t>those</w:t>
      </w:r>
      <w:r w:rsidR="00C35CA5" w:rsidRPr="00616282">
        <w:rPr>
          <w:rFonts w:ascii="Calibri" w:hAnsi="Calibri" w:cs="Calibri"/>
          <w:lang w:val="en-GB"/>
        </w:rPr>
        <w:t xml:space="preserve"> </w:t>
      </w:r>
      <w:r w:rsidR="00FE35C7" w:rsidRPr="00616282">
        <w:rPr>
          <w:rFonts w:ascii="Calibri" w:hAnsi="Calibri" w:cs="Calibri"/>
          <w:lang w:val="en-GB"/>
        </w:rPr>
        <w:t>surpassing internal materiality thresholds.</w:t>
      </w:r>
    </w:p>
    <w:p w14:paraId="4301B0DB" w14:textId="77777777" w:rsidR="004B6E92" w:rsidRPr="00616282" w:rsidRDefault="004B6E92" w:rsidP="00EB07C0">
      <w:pPr>
        <w:rPr>
          <w:rFonts w:ascii="Calibri" w:hAnsi="Calibri" w:cs="Calibri"/>
          <w:lang w:val="en-GB"/>
        </w:rPr>
      </w:pPr>
    </w:p>
    <w:p w14:paraId="72357800" w14:textId="7A1CB611" w:rsidR="004B6E92" w:rsidRPr="00616282" w:rsidRDefault="003151D3">
      <w:pPr>
        <w:rPr>
          <w:rFonts w:ascii="Calibri" w:hAnsi="Calibri" w:cs="Calibri"/>
          <w:b/>
          <w:bCs/>
          <w:color w:val="ED7D31" w:themeColor="accent2"/>
          <w:lang w:val="en-GB"/>
        </w:rPr>
      </w:pPr>
      <w:bookmarkStart w:id="79" w:name="_Toc175223825"/>
      <w:r w:rsidRPr="00616282">
        <w:rPr>
          <w:rFonts w:ascii="Calibri" w:hAnsi="Calibri" w:cs="Calibri"/>
          <w:b/>
          <w:bCs/>
          <w:color w:val="ED7D31" w:themeColor="accent2"/>
          <w:lang w:val="en-GB"/>
        </w:rPr>
        <w:t xml:space="preserve">Figure </w:t>
      </w:r>
      <w:r w:rsidRPr="00616282">
        <w:rPr>
          <w:rFonts w:ascii="Calibri" w:hAnsi="Calibri" w:cs="Calibri"/>
          <w:b/>
          <w:bCs/>
          <w:color w:val="ED7D31" w:themeColor="accent2"/>
          <w:lang w:val="en-GB"/>
        </w:rPr>
        <w:fldChar w:fldCharType="begin"/>
      </w:r>
      <w:r w:rsidRPr="00616282">
        <w:rPr>
          <w:rFonts w:ascii="Calibri" w:hAnsi="Calibri" w:cs="Calibri"/>
          <w:b/>
          <w:bCs/>
          <w:color w:val="ED7D31" w:themeColor="accent2"/>
          <w:lang w:val="en-GB"/>
        </w:rPr>
        <w:instrText xml:space="preserve"> SEQ Figure \* ARABIC </w:instrText>
      </w:r>
      <w:r w:rsidRPr="00616282">
        <w:rPr>
          <w:rFonts w:ascii="Calibri" w:hAnsi="Calibri" w:cs="Calibri"/>
          <w:b/>
          <w:bCs/>
          <w:color w:val="ED7D31" w:themeColor="accent2"/>
          <w:lang w:val="en-GB"/>
        </w:rPr>
        <w:fldChar w:fldCharType="separate"/>
      </w:r>
      <w:r w:rsidR="0096670A">
        <w:rPr>
          <w:rFonts w:ascii="Calibri" w:hAnsi="Calibri" w:cs="Calibri"/>
          <w:b/>
          <w:bCs/>
          <w:noProof/>
          <w:color w:val="ED7D31" w:themeColor="accent2"/>
          <w:lang w:val="en-GB"/>
        </w:rPr>
        <w:t>10</w:t>
      </w:r>
      <w:r w:rsidRPr="00616282">
        <w:rPr>
          <w:rFonts w:ascii="Calibri" w:hAnsi="Calibri" w:cs="Calibri"/>
          <w:b/>
          <w:bCs/>
          <w:color w:val="ED7D31" w:themeColor="accent2"/>
          <w:lang w:val="en-GB"/>
        </w:rPr>
        <w:fldChar w:fldCharType="end"/>
      </w:r>
      <w:r w:rsidRPr="00616282">
        <w:rPr>
          <w:rFonts w:ascii="Calibri" w:hAnsi="Calibri" w:cs="Calibri"/>
          <w:b/>
          <w:bCs/>
          <w:color w:val="ED7D31" w:themeColor="accent2"/>
          <w:lang w:val="en-GB"/>
        </w:rPr>
        <w:t>: Climate Risk Management Process (explanatory)</w:t>
      </w:r>
      <w:bookmarkEnd w:id="79"/>
    </w:p>
    <w:p w14:paraId="7BE48CB3" w14:textId="77777777" w:rsidR="003B2AB0" w:rsidRPr="00616282" w:rsidRDefault="003B2AB0" w:rsidP="00616282">
      <w:pPr>
        <w:rPr>
          <w:rFonts w:ascii="Calibri" w:hAnsi="Calibri" w:cs="Calibri"/>
          <w:b/>
          <w:bCs/>
          <w:color w:val="ED7D31" w:themeColor="accent2"/>
          <w:lang w:val="en-GB"/>
        </w:rPr>
      </w:pPr>
    </w:p>
    <w:p w14:paraId="23E75492" w14:textId="47977D6E" w:rsidR="00446278" w:rsidRPr="00616282" w:rsidRDefault="00571F99" w:rsidP="00616282">
      <w:pPr>
        <w:jc w:val="center"/>
        <w:rPr>
          <w:rFonts w:ascii="Calibri" w:hAnsi="Calibri" w:cs="Calibri"/>
        </w:rPr>
      </w:pPr>
      <w:r w:rsidRPr="00616282">
        <w:rPr>
          <w:rFonts w:ascii="Calibri" w:hAnsi="Calibri" w:cs="Calibri"/>
          <w:noProof/>
        </w:rPr>
        <w:drawing>
          <wp:inline distT="0" distB="0" distL="0" distR="0" wp14:anchorId="1BD4EFC3" wp14:editId="7D1FBDD5">
            <wp:extent cx="4294319" cy="2686685"/>
            <wp:effectExtent l="0" t="0" r="0" b="0"/>
            <wp:docPr id="4" name="Picture 3" descr="A diagram of a risk management&#10;&#10;Description automatically generated">
              <a:extLst xmlns:a="http://schemas.openxmlformats.org/drawingml/2006/main">
                <a:ext uri="{FF2B5EF4-FFF2-40B4-BE49-F238E27FC236}">
                  <a16:creationId xmlns:a16="http://schemas.microsoft.com/office/drawing/2014/main" id="{6655DF82-768E-182A-A7E4-AB7F55361FE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descr="A diagram of a risk management&#10;&#10;Description automatically generated">
                      <a:extLst>
                        <a:ext uri="{FF2B5EF4-FFF2-40B4-BE49-F238E27FC236}">
                          <a16:creationId xmlns:a16="http://schemas.microsoft.com/office/drawing/2014/main" id="{6655DF82-768E-182A-A7E4-AB7F55361FE1}"/>
                        </a:ext>
                      </a:extLst>
                    </pic:cNvPr>
                    <pic:cNvPicPr>
                      <a:picLocks noChangeAspect="1"/>
                    </pic:cNvPicPr>
                  </pic:nvPicPr>
                  <pic:blipFill>
                    <a:blip r:embed="rId35"/>
                    <a:stretch>
                      <a:fillRect/>
                    </a:stretch>
                  </pic:blipFill>
                  <pic:spPr>
                    <a:xfrm>
                      <a:off x="0" y="0"/>
                      <a:ext cx="4299691" cy="2690046"/>
                    </a:xfrm>
                    <a:prstGeom prst="rect">
                      <a:avLst/>
                    </a:prstGeom>
                  </pic:spPr>
                </pic:pic>
              </a:graphicData>
            </a:graphic>
          </wp:inline>
        </w:drawing>
      </w:r>
    </w:p>
    <w:p w14:paraId="2C83E785" w14:textId="77777777" w:rsidR="004C102B" w:rsidRPr="00616282" w:rsidRDefault="004C102B" w:rsidP="00DF7099">
      <w:pPr>
        <w:rPr>
          <w:rFonts w:ascii="Calibri" w:hAnsi="Calibri" w:cs="Calibri"/>
        </w:rPr>
      </w:pPr>
    </w:p>
    <w:p w14:paraId="4B2D2EE6" w14:textId="7CD07F4C" w:rsidR="001C0DCA" w:rsidRPr="00616282" w:rsidRDefault="00377CB1" w:rsidP="0046333A">
      <w:pPr>
        <w:jc w:val="both"/>
        <w:rPr>
          <w:rFonts w:ascii="Calibri" w:hAnsi="Calibri" w:cs="Calibri"/>
        </w:rPr>
      </w:pPr>
      <w:r w:rsidRPr="00616282">
        <w:rPr>
          <w:rFonts w:ascii="Calibri" w:hAnsi="Calibri" w:cs="Calibri"/>
        </w:rPr>
        <w:t xml:space="preserve">As banks progress in assessing the climate risks through different </w:t>
      </w:r>
      <w:r w:rsidR="009747B6" w:rsidRPr="00616282">
        <w:rPr>
          <w:rFonts w:ascii="Calibri" w:hAnsi="Calibri" w:cs="Calibri"/>
        </w:rPr>
        <w:t xml:space="preserve">methods, they should start adjusting internal </w:t>
      </w:r>
      <w:r w:rsidR="009747B6" w:rsidRPr="00616282">
        <w:rPr>
          <w:rFonts w:ascii="Calibri" w:hAnsi="Calibri" w:cs="Calibri"/>
          <w:b/>
          <w:bCs/>
          <w:color w:val="4472C4" w:themeColor="accent1"/>
        </w:rPr>
        <w:t>risk management</w:t>
      </w:r>
      <w:r w:rsidR="009747B6" w:rsidRPr="00616282">
        <w:rPr>
          <w:rFonts w:ascii="Calibri" w:hAnsi="Calibri" w:cs="Calibri"/>
        </w:rPr>
        <w:t xml:space="preserve"> practices and i</w:t>
      </w:r>
      <w:r w:rsidR="00866074" w:rsidRPr="00616282">
        <w:rPr>
          <w:rFonts w:ascii="Calibri" w:hAnsi="Calibri" w:cs="Calibri"/>
        </w:rPr>
        <w:t>nclud</w:t>
      </w:r>
      <w:r w:rsidR="00C807D2">
        <w:rPr>
          <w:rFonts w:ascii="Calibri" w:hAnsi="Calibri" w:cs="Calibri"/>
        </w:rPr>
        <w:t>e</w:t>
      </w:r>
      <w:r w:rsidR="00866074" w:rsidRPr="00616282">
        <w:rPr>
          <w:rFonts w:ascii="Calibri" w:hAnsi="Calibri" w:cs="Calibri"/>
        </w:rPr>
        <w:t xml:space="preserve"> climate factors in the </w:t>
      </w:r>
      <w:r w:rsidR="00866074" w:rsidRPr="00616282">
        <w:rPr>
          <w:rFonts w:ascii="Calibri" w:hAnsi="Calibri" w:cs="Calibri"/>
          <w:b/>
          <w:bCs/>
        </w:rPr>
        <w:t>due diligence procedures</w:t>
      </w:r>
      <w:r w:rsidR="00866074" w:rsidRPr="00616282">
        <w:rPr>
          <w:rFonts w:ascii="Calibri" w:hAnsi="Calibri" w:cs="Calibri"/>
        </w:rPr>
        <w:t xml:space="preserve">. Such procedures would propose a set of </w:t>
      </w:r>
      <w:r w:rsidR="00481CEC" w:rsidRPr="00616282">
        <w:rPr>
          <w:rFonts w:ascii="Calibri" w:hAnsi="Calibri" w:cs="Calibri"/>
          <w:b/>
          <w:bCs/>
        </w:rPr>
        <w:t>client questionnaires</w:t>
      </w:r>
      <w:r w:rsidR="00481CEC" w:rsidRPr="00616282">
        <w:rPr>
          <w:rFonts w:ascii="Calibri" w:hAnsi="Calibri" w:cs="Calibri"/>
        </w:rPr>
        <w:t xml:space="preserve"> </w:t>
      </w:r>
      <w:r w:rsidR="00CA4B84" w:rsidRPr="00616282">
        <w:rPr>
          <w:rFonts w:ascii="Calibri" w:hAnsi="Calibri" w:cs="Calibri"/>
        </w:rPr>
        <w:t xml:space="preserve">(including </w:t>
      </w:r>
      <w:r w:rsidR="002D2BA2" w:rsidRPr="00616282">
        <w:rPr>
          <w:rFonts w:ascii="Calibri" w:hAnsi="Calibri" w:cs="Calibri"/>
        </w:rPr>
        <w:t xml:space="preserve">exclusion criteria </w:t>
      </w:r>
      <w:r w:rsidR="00F57B3F" w:rsidRPr="00616282">
        <w:rPr>
          <w:rFonts w:ascii="Calibri" w:hAnsi="Calibri" w:cs="Calibri"/>
        </w:rPr>
        <w:t>in lending policies)</w:t>
      </w:r>
      <w:r w:rsidR="006A2FA3" w:rsidRPr="00616282">
        <w:rPr>
          <w:rFonts w:ascii="Calibri" w:hAnsi="Calibri" w:cs="Calibri"/>
        </w:rPr>
        <w:t xml:space="preserve"> to understand </w:t>
      </w:r>
      <w:r w:rsidR="00C807D2">
        <w:rPr>
          <w:rFonts w:ascii="Calibri" w:hAnsi="Calibri" w:cs="Calibri"/>
        </w:rPr>
        <w:t xml:space="preserve">the </w:t>
      </w:r>
      <w:r w:rsidR="00C4135D" w:rsidRPr="00616282">
        <w:rPr>
          <w:rFonts w:ascii="Calibri" w:hAnsi="Calibri" w:cs="Calibri"/>
        </w:rPr>
        <w:t xml:space="preserve">level of risk that clients are facing </w:t>
      </w:r>
      <w:r w:rsidR="008040A1" w:rsidRPr="00616282">
        <w:rPr>
          <w:rFonts w:ascii="Calibri" w:hAnsi="Calibri" w:cs="Calibri"/>
        </w:rPr>
        <w:t>and to make informed credit decisions</w:t>
      </w:r>
      <w:r w:rsidR="00BB40E6" w:rsidRPr="00616282">
        <w:rPr>
          <w:rFonts w:ascii="Calibri" w:hAnsi="Calibri" w:cs="Calibri"/>
        </w:rPr>
        <w:t xml:space="preserve"> (for example</w:t>
      </w:r>
      <w:r w:rsidR="00C807D2">
        <w:rPr>
          <w:rFonts w:ascii="Calibri" w:hAnsi="Calibri" w:cs="Calibri"/>
        </w:rPr>
        <w:t>,</w:t>
      </w:r>
      <w:r w:rsidR="00BB40E6" w:rsidRPr="00616282">
        <w:rPr>
          <w:rFonts w:ascii="Calibri" w:hAnsi="Calibri" w:cs="Calibri"/>
        </w:rPr>
        <w:t xml:space="preserve"> </w:t>
      </w:r>
      <w:r w:rsidR="00E20852" w:rsidRPr="00616282">
        <w:rPr>
          <w:rFonts w:ascii="Calibri" w:hAnsi="Calibri" w:cs="Calibri"/>
        </w:rPr>
        <w:t>granting credit or intensifying monitoring</w:t>
      </w:r>
      <w:r w:rsidR="00C807D2">
        <w:rPr>
          <w:rFonts w:ascii="Calibri" w:hAnsi="Calibri" w:cs="Calibri"/>
        </w:rPr>
        <w:t>)</w:t>
      </w:r>
      <w:r w:rsidR="003F0007" w:rsidRPr="00616282">
        <w:rPr>
          <w:rFonts w:ascii="Calibri" w:hAnsi="Calibri" w:cs="Calibri"/>
        </w:rPr>
        <w:t>.</w:t>
      </w:r>
    </w:p>
    <w:p w14:paraId="2BC659A5" w14:textId="77777777" w:rsidR="001C0DCA" w:rsidRPr="00616282" w:rsidRDefault="001C0DCA" w:rsidP="0046333A">
      <w:pPr>
        <w:jc w:val="both"/>
        <w:rPr>
          <w:rFonts w:ascii="Calibri" w:hAnsi="Calibri" w:cs="Calibri"/>
        </w:rPr>
      </w:pPr>
    </w:p>
    <w:p w14:paraId="3CFDC167" w14:textId="1BD0918B" w:rsidR="001C0DCA" w:rsidRPr="00616282" w:rsidRDefault="001C0DCA" w:rsidP="0046333A">
      <w:pPr>
        <w:jc w:val="both"/>
        <w:rPr>
          <w:rFonts w:ascii="Calibri" w:hAnsi="Calibri" w:cs="Calibri"/>
        </w:rPr>
      </w:pPr>
      <w:r w:rsidRPr="00616282">
        <w:rPr>
          <w:rFonts w:ascii="Calibri" w:hAnsi="Calibri" w:cs="Calibri"/>
        </w:rPr>
        <w:t xml:space="preserve">The client questionnaire should collect the client and asset-specific data needed to assess relevant transition and physical risk drivers. This includes both quantitative and qualitative risk data. The </w:t>
      </w:r>
      <w:r w:rsidR="00154A8D" w:rsidRPr="00616282">
        <w:rPr>
          <w:rFonts w:ascii="Calibri" w:hAnsi="Calibri" w:cs="Calibri"/>
        </w:rPr>
        <w:t xml:space="preserve">figure </w:t>
      </w:r>
      <w:r w:rsidRPr="00616282">
        <w:rPr>
          <w:rFonts w:ascii="Calibri" w:hAnsi="Calibri" w:cs="Calibri"/>
        </w:rPr>
        <w:t>below provides a non-exhaustive overview of observed practices in this regard.</w:t>
      </w:r>
    </w:p>
    <w:p w14:paraId="0EB19F45" w14:textId="77777777" w:rsidR="00363B88" w:rsidRPr="00616282" w:rsidRDefault="00363B88" w:rsidP="0046333A">
      <w:pPr>
        <w:jc w:val="both"/>
        <w:rPr>
          <w:rFonts w:ascii="Calibri" w:hAnsi="Calibri" w:cs="Calibri"/>
        </w:rPr>
      </w:pPr>
    </w:p>
    <w:p w14:paraId="1966ABB9" w14:textId="77777777" w:rsidR="00157082" w:rsidRDefault="00157082">
      <w:pPr>
        <w:rPr>
          <w:rFonts w:ascii="Calibri" w:hAnsi="Calibri" w:cs="Calibri"/>
          <w:b/>
          <w:bCs/>
          <w:color w:val="ED7D31" w:themeColor="accent2"/>
          <w:lang w:val="en-GB"/>
        </w:rPr>
      </w:pPr>
      <w:r>
        <w:rPr>
          <w:rFonts w:ascii="Calibri" w:hAnsi="Calibri" w:cs="Calibri"/>
          <w:b/>
          <w:bCs/>
          <w:color w:val="ED7D31" w:themeColor="accent2"/>
          <w:lang w:val="en-GB"/>
        </w:rPr>
        <w:br w:type="page"/>
      </w:r>
    </w:p>
    <w:p w14:paraId="6969E2D1" w14:textId="6D2C2644" w:rsidR="00866074" w:rsidRDefault="00363B88" w:rsidP="00616282">
      <w:pPr>
        <w:rPr>
          <w:rFonts w:ascii="Calibri" w:hAnsi="Calibri" w:cs="Calibri"/>
          <w:b/>
          <w:bCs/>
          <w:color w:val="ED7D31" w:themeColor="accent2"/>
          <w:lang w:val="en-GB"/>
        </w:rPr>
      </w:pPr>
      <w:bookmarkStart w:id="80" w:name="_Toc175223826"/>
      <w:r w:rsidRPr="00616282">
        <w:rPr>
          <w:rFonts w:ascii="Calibri" w:hAnsi="Calibri" w:cs="Calibri"/>
          <w:b/>
          <w:bCs/>
          <w:color w:val="ED7D31" w:themeColor="accent2"/>
          <w:lang w:val="en-GB"/>
        </w:rPr>
        <w:lastRenderedPageBreak/>
        <w:t xml:space="preserve">Figure </w:t>
      </w:r>
      <w:r w:rsidRPr="00616282">
        <w:rPr>
          <w:rFonts w:ascii="Calibri" w:hAnsi="Calibri" w:cs="Calibri"/>
          <w:b/>
          <w:bCs/>
          <w:color w:val="ED7D31" w:themeColor="accent2"/>
          <w:lang w:val="en-GB"/>
        </w:rPr>
        <w:fldChar w:fldCharType="begin"/>
      </w:r>
      <w:r w:rsidRPr="00616282">
        <w:rPr>
          <w:rFonts w:ascii="Calibri" w:hAnsi="Calibri" w:cs="Calibri"/>
          <w:b/>
          <w:bCs/>
          <w:color w:val="ED7D31" w:themeColor="accent2"/>
          <w:lang w:val="en-GB"/>
        </w:rPr>
        <w:instrText xml:space="preserve"> SEQ Figure \* ARABIC </w:instrText>
      </w:r>
      <w:r w:rsidRPr="00616282">
        <w:rPr>
          <w:rFonts w:ascii="Calibri" w:hAnsi="Calibri" w:cs="Calibri"/>
          <w:b/>
          <w:bCs/>
          <w:color w:val="ED7D31" w:themeColor="accent2"/>
          <w:lang w:val="en-GB"/>
        </w:rPr>
        <w:fldChar w:fldCharType="separate"/>
      </w:r>
      <w:r w:rsidR="0096670A">
        <w:rPr>
          <w:rFonts w:ascii="Calibri" w:hAnsi="Calibri" w:cs="Calibri"/>
          <w:b/>
          <w:bCs/>
          <w:noProof/>
          <w:color w:val="ED7D31" w:themeColor="accent2"/>
          <w:lang w:val="en-GB"/>
        </w:rPr>
        <w:t>11</w:t>
      </w:r>
      <w:r w:rsidRPr="00616282">
        <w:rPr>
          <w:rFonts w:ascii="Calibri" w:hAnsi="Calibri" w:cs="Calibri"/>
          <w:b/>
          <w:bCs/>
          <w:color w:val="ED7D31" w:themeColor="accent2"/>
          <w:lang w:val="en-GB"/>
        </w:rPr>
        <w:fldChar w:fldCharType="end"/>
      </w:r>
      <w:r w:rsidRPr="00616282">
        <w:rPr>
          <w:rFonts w:ascii="Calibri" w:hAnsi="Calibri" w:cs="Calibri"/>
          <w:b/>
          <w:bCs/>
          <w:color w:val="ED7D31" w:themeColor="accent2"/>
          <w:lang w:val="en-GB"/>
        </w:rPr>
        <w:t>: List of data items collected to inform risk assessment during due diligence.</w:t>
      </w:r>
      <w:bookmarkEnd w:id="80"/>
    </w:p>
    <w:p w14:paraId="6438CCCC" w14:textId="77777777" w:rsidR="00157082" w:rsidRPr="00616282" w:rsidRDefault="00157082" w:rsidP="00616282">
      <w:pPr>
        <w:rPr>
          <w:rFonts w:ascii="Calibri" w:hAnsi="Calibri" w:cs="Calibri"/>
          <w:b/>
          <w:bCs/>
          <w:color w:val="ED7D31" w:themeColor="accent2"/>
          <w:lang w:val="en-GB"/>
        </w:rPr>
      </w:pPr>
    </w:p>
    <w:p w14:paraId="20FB1524" w14:textId="0EA52D81" w:rsidR="00972B1D" w:rsidRPr="00616282" w:rsidRDefault="003B2AB0" w:rsidP="0090701E">
      <w:pPr>
        <w:jc w:val="center"/>
        <w:rPr>
          <w:rFonts w:ascii="Calibri" w:hAnsi="Calibri" w:cs="Calibri"/>
        </w:rPr>
      </w:pPr>
      <w:r w:rsidRPr="00616282">
        <w:rPr>
          <w:rFonts w:ascii="Calibri" w:hAnsi="Calibri" w:cs="Calibri"/>
          <w:noProof/>
        </w:rPr>
        <w:drawing>
          <wp:inline distT="0" distB="0" distL="0" distR="0" wp14:anchorId="36B38F33" wp14:editId="7CC90C69">
            <wp:extent cx="5370514" cy="2901244"/>
            <wp:effectExtent l="0" t="0" r="1905" b="0"/>
            <wp:docPr id="112327314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3273144" name=""/>
                    <pic:cNvPicPr/>
                  </pic:nvPicPr>
                  <pic:blipFill>
                    <a:blip r:embed="rId36"/>
                    <a:stretch>
                      <a:fillRect/>
                    </a:stretch>
                  </pic:blipFill>
                  <pic:spPr>
                    <a:xfrm>
                      <a:off x="0" y="0"/>
                      <a:ext cx="5376683" cy="2904577"/>
                    </a:xfrm>
                    <a:prstGeom prst="rect">
                      <a:avLst/>
                    </a:prstGeom>
                  </pic:spPr>
                </pic:pic>
              </a:graphicData>
            </a:graphic>
          </wp:inline>
        </w:drawing>
      </w:r>
    </w:p>
    <w:p w14:paraId="20FE4828" w14:textId="0B033F3F" w:rsidR="00363B88" w:rsidRPr="006D2FA9" w:rsidRDefault="00855E01" w:rsidP="00C33A89">
      <w:pPr>
        <w:rPr>
          <w:rFonts w:ascii="Calibri" w:hAnsi="Calibri" w:cs="Calibri"/>
          <w:sz w:val="20"/>
          <w:szCs w:val="20"/>
          <w:lang w:val="en-GB"/>
        </w:rPr>
      </w:pPr>
      <w:r w:rsidRPr="006D2FA9">
        <w:rPr>
          <w:rFonts w:ascii="Calibri" w:hAnsi="Calibri" w:cs="Calibri"/>
          <w:b/>
          <w:bCs/>
          <w:sz w:val="20"/>
          <w:szCs w:val="20"/>
          <w:lang w:val="en-GB"/>
        </w:rPr>
        <w:t>Source</w:t>
      </w:r>
      <w:r w:rsidRPr="006D2FA9">
        <w:rPr>
          <w:rFonts w:ascii="Calibri" w:hAnsi="Calibri" w:cs="Calibri"/>
          <w:sz w:val="20"/>
          <w:szCs w:val="20"/>
          <w:lang w:val="en-GB"/>
        </w:rPr>
        <w:t xml:space="preserve">: </w:t>
      </w:r>
      <w:r w:rsidR="00B7558A">
        <w:rPr>
          <w:rFonts w:ascii="Calibri" w:hAnsi="Calibri" w:cs="Calibri"/>
          <w:sz w:val="20"/>
          <w:szCs w:val="20"/>
          <w:lang w:val="en-GB"/>
        </w:rPr>
        <w:t>European Central Bank (</w:t>
      </w:r>
      <w:r w:rsidRPr="006D2FA9">
        <w:rPr>
          <w:rFonts w:ascii="Calibri" w:hAnsi="Calibri" w:cs="Calibri"/>
          <w:sz w:val="20"/>
          <w:szCs w:val="20"/>
          <w:lang w:val="en-GB"/>
        </w:rPr>
        <w:t>ECB</w:t>
      </w:r>
      <w:r w:rsidR="00B7558A">
        <w:rPr>
          <w:rFonts w:ascii="Calibri" w:hAnsi="Calibri" w:cs="Calibri"/>
          <w:sz w:val="20"/>
          <w:szCs w:val="20"/>
          <w:lang w:val="en-GB"/>
        </w:rPr>
        <w:t>)</w:t>
      </w:r>
      <w:r w:rsidR="00975AB5" w:rsidRPr="006D2FA9">
        <w:rPr>
          <w:rFonts w:ascii="Calibri" w:hAnsi="Calibri" w:cs="Calibri"/>
          <w:sz w:val="20"/>
          <w:szCs w:val="20"/>
          <w:lang w:val="en-GB"/>
        </w:rPr>
        <w:t xml:space="preserve">. </w:t>
      </w:r>
      <w:r w:rsidR="00C33A89" w:rsidRPr="006D2FA9">
        <w:rPr>
          <w:rFonts w:ascii="Calibri" w:hAnsi="Calibri" w:cs="Calibri"/>
          <w:sz w:val="20"/>
          <w:szCs w:val="20"/>
          <w:lang w:val="en-GB"/>
        </w:rPr>
        <w:t>2022. Good practices for climate</w:t>
      </w:r>
      <w:r w:rsidR="006D2FA9">
        <w:rPr>
          <w:rFonts w:ascii="Calibri" w:hAnsi="Calibri" w:cs="Calibri"/>
          <w:sz w:val="20"/>
          <w:szCs w:val="20"/>
          <w:lang w:val="en-GB"/>
        </w:rPr>
        <w:t>-</w:t>
      </w:r>
      <w:r w:rsidR="00C33A89" w:rsidRPr="006D2FA9">
        <w:rPr>
          <w:rFonts w:ascii="Calibri" w:hAnsi="Calibri" w:cs="Calibri"/>
          <w:sz w:val="20"/>
          <w:szCs w:val="20"/>
          <w:lang w:val="en-GB"/>
        </w:rPr>
        <w:t>related and environmental</w:t>
      </w:r>
      <w:r w:rsidR="006D2FA9">
        <w:rPr>
          <w:rFonts w:ascii="Calibri" w:hAnsi="Calibri" w:cs="Calibri"/>
          <w:sz w:val="20"/>
          <w:szCs w:val="20"/>
          <w:lang w:val="en-GB"/>
        </w:rPr>
        <w:t xml:space="preserve"> </w:t>
      </w:r>
      <w:r w:rsidR="00C33A89" w:rsidRPr="006D2FA9">
        <w:rPr>
          <w:rFonts w:ascii="Calibri" w:hAnsi="Calibri" w:cs="Calibri"/>
          <w:sz w:val="20"/>
          <w:szCs w:val="20"/>
          <w:lang w:val="en-GB"/>
        </w:rPr>
        <w:t>risk management</w:t>
      </w:r>
      <w:r w:rsidR="006D2FA9" w:rsidRPr="006D2FA9">
        <w:rPr>
          <w:rFonts w:ascii="Calibri" w:hAnsi="Calibri" w:cs="Calibri"/>
          <w:sz w:val="20"/>
          <w:szCs w:val="20"/>
          <w:lang w:val="en-GB"/>
        </w:rPr>
        <w:t xml:space="preserve">. </w:t>
      </w:r>
    </w:p>
    <w:p w14:paraId="76A24029" w14:textId="77777777" w:rsidR="006D2FA9" w:rsidRPr="00616282" w:rsidRDefault="006D2FA9" w:rsidP="00C33A89">
      <w:pPr>
        <w:rPr>
          <w:rFonts w:ascii="Calibri" w:hAnsi="Calibri" w:cs="Calibri"/>
          <w:lang w:val="en-GB"/>
        </w:rPr>
      </w:pPr>
    </w:p>
    <w:p w14:paraId="6B6B529C" w14:textId="3FFCEDA3" w:rsidR="00595070" w:rsidRPr="00616282" w:rsidRDefault="00595070" w:rsidP="00616282">
      <w:pPr>
        <w:jc w:val="both"/>
        <w:rPr>
          <w:rFonts w:ascii="Calibri" w:hAnsi="Calibri" w:cs="Calibri"/>
          <w:lang w:val="en-GB"/>
        </w:rPr>
      </w:pPr>
      <w:bookmarkStart w:id="81" w:name="_Toc167079303"/>
      <w:bookmarkStart w:id="82" w:name="_Toc167079492"/>
      <w:r w:rsidRPr="00616282">
        <w:rPr>
          <w:rFonts w:ascii="Calibri" w:hAnsi="Calibri" w:cs="Calibri"/>
          <w:lang w:val="en-GB"/>
        </w:rPr>
        <w:t xml:space="preserve">The questionnaires can be used to classify clients with different risk scores through stand-alone </w:t>
      </w:r>
      <w:r w:rsidRPr="00616282">
        <w:rPr>
          <w:rFonts w:ascii="Calibri" w:hAnsi="Calibri" w:cs="Calibri"/>
          <w:b/>
          <w:lang w:val="en-GB"/>
        </w:rPr>
        <w:t>climate scorecards</w:t>
      </w:r>
      <w:r w:rsidRPr="00616282">
        <w:rPr>
          <w:rFonts w:ascii="Calibri" w:hAnsi="Calibri" w:cs="Calibri"/>
          <w:lang w:val="en-GB"/>
        </w:rPr>
        <w:t xml:space="preserve"> for clients, for example featuring an adapted traffic light system with standardised levels (</w:t>
      </w:r>
      <w:r w:rsidR="004D0C64" w:rsidRPr="00616282">
        <w:rPr>
          <w:rFonts w:ascii="Calibri" w:hAnsi="Calibri" w:cs="Calibri"/>
          <w:lang w:val="en-GB"/>
        </w:rPr>
        <w:t>i.e.,</w:t>
      </w:r>
      <w:r w:rsidRPr="00616282">
        <w:rPr>
          <w:rFonts w:ascii="Calibri" w:hAnsi="Calibri" w:cs="Calibri"/>
          <w:lang w:val="en-GB"/>
        </w:rPr>
        <w:t xml:space="preserve"> green, amber, and red). The scorecard </w:t>
      </w:r>
      <w:r w:rsidR="007E0062">
        <w:rPr>
          <w:rFonts w:ascii="Calibri" w:hAnsi="Calibri" w:cs="Calibri"/>
          <w:lang w:val="en-GB"/>
        </w:rPr>
        <w:t xml:space="preserve">can </w:t>
      </w:r>
      <w:r w:rsidRPr="00616282">
        <w:rPr>
          <w:rFonts w:ascii="Calibri" w:hAnsi="Calibri" w:cs="Calibri"/>
          <w:lang w:val="en-GB"/>
        </w:rPr>
        <w:t>then be factored into the discussions on lending decisions and credit files in the respective credit committees. In some cases, the banks could integrate the outcome of the client scorecard in its PD-rating system in a qualitative manner. For example, by setting concrete criteria that trigger a downward override of the PD rating if the scorecard is poor or through the integration of qualitative climate-related findings in the business risk or business environment assessment component of the PD rating system.</w:t>
      </w:r>
      <w:bookmarkEnd w:id="81"/>
      <w:bookmarkEnd w:id="82"/>
    </w:p>
    <w:p w14:paraId="26D4FD19" w14:textId="77777777" w:rsidR="00595070" w:rsidRPr="00616282" w:rsidRDefault="00595070" w:rsidP="00B720D9">
      <w:pPr>
        <w:rPr>
          <w:rFonts w:ascii="Calibri" w:hAnsi="Calibri" w:cs="Calibri"/>
          <w:lang w:val="en-GB"/>
        </w:rPr>
      </w:pPr>
    </w:p>
    <w:p w14:paraId="652F0645" w14:textId="5B938017" w:rsidR="00321B2E" w:rsidRPr="00616282" w:rsidRDefault="00321B2E" w:rsidP="00AC3D10">
      <w:pPr>
        <w:jc w:val="both"/>
        <w:rPr>
          <w:rFonts w:ascii="Calibri" w:hAnsi="Calibri" w:cs="Calibri"/>
          <w:lang w:val="en-GB"/>
        </w:rPr>
      </w:pPr>
      <w:r w:rsidRPr="00616282">
        <w:rPr>
          <w:rFonts w:ascii="Calibri" w:hAnsi="Calibri" w:cs="Calibri"/>
          <w:lang w:val="en-GB"/>
        </w:rPr>
        <w:t>The following illustrations provide an overview on how some banks</w:t>
      </w:r>
      <w:r w:rsidR="00235880" w:rsidRPr="00616282">
        <w:rPr>
          <w:rFonts w:ascii="Calibri" w:hAnsi="Calibri" w:cs="Calibri"/>
          <w:lang w:val="en-GB"/>
        </w:rPr>
        <w:t xml:space="preserve"> adjusted their due diligence proc</w:t>
      </w:r>
      <w:r w:rsidR="00CB2525" w:rsidRPr="00616282">
        <w:rPr>
          <w:rFonts w:ascii="Calibri" w:hAnsi="Calibri" w:cs="Calibri"/>
          <w:lang w:val="en-GB"/>
        </w:rPr>
        <w:t>edures</w:t>
      </w:r>
      <w:r w:rsidR="00235880" w:rsidRPr="00616282">
        <w:rPr>
          <w:rFonts w:ascii="Calibri" w:hAnsi="Calibri" w:cs="Calibri"/>
          <w:lang w:val="en-GB"/>
        </w:rPr>
        <w:t xml:space="preserve"> in conjugation with </w:t>
      </w:r>
      <w:r w:rsidR="00CB2525" w:rsidRPr="00616282">
        <w:rPr>
          <w:rFonts w:ascii="Calibri" w:hAnsi="Calibri" w:cs="Calibri"/>
          <w:lang w:val="en-GB"/>
        </w:rPr>
        <w:t xml:space="preserve">internal </w:t>
      </w:r>
      <w:r w:rsidR="00235880" w:rsidRPr="00616282">
        <w:rPr>
          <w:rFonts w:ascii="Calibri" w:hAnsi="Calibri" w:cs="Calibri"/>
          <w:lang w:val="en-GB"/>
        </w:rPr>
        <w:t>engagement approaches</w:t>
      </w:r>
      <w:r w:rsidRPr="00616282">
        <w:rPr>
          <w:rFonts w:ascii="Calibri" w:hAnsi="Calibri" w:cs="Calibri"/>
          <w:lang w:val="en-GB"/>
        </w:rPr>
        <w:t xml:space="preserve">. While the illustrations are summaries, </w:t>
      </w:r>
      <w:r w:rsidR="00872D16" w:rsidRPr="00616282">
        <w:rPr>
          <w:rFonts w:ascii="Calibri" w:hAnsi="Calibri" w:cs="Calibri"/>
          <w:lang w:val="en-GB"/>
        </w:rPr>
        <w:t>there is a substantial amount of effort related to assembling i</w:t>
      </w:r>
      <w:r w:rsidRPr="00616282">
        <w:rPr>
          <w:rFonts w:ascii="Calibri" w:hAnsi="Calibri" w:cs="Calibri"/>
          <w:lang w:val="en-GB"/>
        </w:rPr>
        <w:t>nputs and parameters</w:t>
      </w:r>
      <w:r w:rsidR="00872D16" w:rsidRPr="00616282">
        <w:rPr>
          <w:rFonts w:ascii="Calibri" w:hAnsi="Calibri" w:cs="Calibri"/>
          <w:lang w:val="en-GB"/>
        </w:rPr>
        <w:t xml:space="preserve"> to understand </w:t>
      </w:r>
      <w:r w:rsidRPr="00616282">
        <w:rPr>
          <w:rFonts w:ascii="Calibri" w:hAnsi="Calibri" w:cs="Calibri"/>
          <w:lang w:val="en-GB"/>
        </w:rPr>
        <w:t xml:space="preserve">the nature, </w:t>
      </w:r>
      <w:r w:rsidR="0014377D" w:rsidRPr="00616282">
        <w:rPr>
          <w:rFonts w:ascii="Calibri" w:hAnsi="Calibri" w:cs="Calibri"/>
          <w:lang w:val="en-GB"/>
        </w:rPr>
        <w:t>likelihood,</w:t>
      </w:r>
      <w:r w:rsidRPr="00616282">
        <w:rPr>
          <w:rFonts w:ascii="Calibri" w:hAnsi="Calibri" w:cs="Calibri"/>
          <w:lang w:val="en-GB"/>
        </w:rPr>
        <w:t xml:space="preserve"> and magnitude of the effects of </w:t>
      </w:r>
      <w:r w:rsidR="00872D16" w:rsidRPr="00616282">
        <w:rPr>
          <w:rFonts w:ascii="Calibri" w:hAnsi="Calibri" w:cs="Calibri"/>
          <w:lang w:val="en-GB"/>
        </w:rPr>
        <w:t>climate</w:t>
      </w:r>
      <w:r w:rsidRPr="00616282">
        <w:rPr>
          <w:rFonts w:ascii="Calibri" w:hAnsi="Calibri" w:cs="Calibri"/>
          <w:lang w:val="en-GB"/>
        </w:rPr>
        <w:t xml:space="preserve"> risks </w:t>
      </w:r>
      <w:r w:rsidR="00872D16" w:rsidRPr="00616282">
        <w:rPr>
          <w:rFonts w:ascii="Calibri" w:hAnsi="Calibri" w:cs="Calibri"/>
          <w:lang w:val="en-GB"/>
        </w:rPr>
        <w:t xml:space="preserve">and opportunities, their prioritization, </w:t>
      </w:r>
      <w:r w:rsidR="009C4B32" w:rsidRPr="00616282">
        <w:rPr>
          <w:rFonts w:ascii="Calibri" w:hAnsi="Calibri" w:cs="Calibri"/>
          <w:lang w:val="en-GB"/>
        </w:rPr>
        <w:t>management,</w:t>
      </w:r>
      <w:r w:rsidR="00872D16" w:rsidRPr="00616282">
        <w:rPr>
          <w:rFonts w:ascii="Calibri" w:hAnsi="Calibri" w:cs="Calibri"/>
          <w:lang w:val="en-GB"/>
        </w:rPr>
        <w:t xml:space="preserve"> and monitoring. </w:t>
      </w:r>
      <w:r w:rsidR="00C0484D" w:rsidRPr="00616282">
        <w:rPr>
          <w:rFonts w:ascii="Calibri" w:hAnsi="Calibri" w:cs="Calibri"/>
          <w:lang w:val="en-GB"/>
        </w:rPr>
        <w:t xml:space="preserve">Lastly, these efforts are dynamic, as they require </w:t>
      </w:r>
      <w:r w:rsidR="007E0062">
        <w:rPr>
          <w:rFonts w:ascii="Calibri" w:hAnsi="Calibri" w:cs="Calibri"/>
          <w:lang w:val="en-GB"/>
        </w:rPr>
        <w:t>an</w:t>
      </w:r>
      <w:r w:rsidR="007E0062" w:rsidRPr="00616282">
        <w:rPr>
          <w:rFonts w:ascii="Calibri" w:hAnsi="Calibri" w:cs="Calibri"/>
          <w:lang w:val="en-GB"/>
        </w:rPr>
        <w:t xml:space="preserve"> </w:t>
      </w:r>
      <w:r w:rsidR="00C0484D" w:rsidRPr="00616282">
        <w:rPr>
          <w:rFonts w:ascii="Calibri" w:hAnsi="Calibri" w:cs="Calibri"/>
          <w:lang w:val="en-GB"/>
        </w:rPr>
        <w:t>understand</w:t>
      </w:r>
      <w:r w:rsidR="007E0062">
        <w:rPr>
          <w:rFonts w:ascii="Calibri" w:hAnsi="Calibri" w:cs="Calibri"/>
          <w:lang w:val="en-GB"/>
        </w:rPr>
        <w:t>ing of</w:t>
      </w:r>
      <w:r w:rsidR="00C0484D" w:rsidRPr="00616282">
        <w:rPr>
          <w:rFonts w:ascii="Calibri" w:hAnsi="Calibri" w:cs="Calibri"/>
          <w:lang w:val="en-GB"/>
        </w:rPr>
        <w:t xml:space="preserve"> how these risks can </w:t>
      </w:r>
      <w:r w:rsidR="007E0062">
        <w:rPr>
          <w:rFonts w:ascii="Calibri" w:hAnsi="Calibri" w:cs="Calibri"/>
          <w:lang w:val="en-GB"/>
        </w:rPr>
        <w:t xml:space="preserve">also </w:t>
      </w:r>
      <w:r w:rsidR="00C0484D" w:rsidRPr="00616282">
        <w:rPr>
          <w:rFonts w:ascii="Calibri" w:hAnsi="Calibri" w:cs="Calibri"/>
          <w:lang w:val="en-GB"/>
        </w:rPr>
        <w:t xml:space="preserve">be translated to opportunities over time, </w:t>
      </w:r>
      <w:r w:rsidR="001C5812" w:rsidRPr="00616282">
        <w:rPr>
          <w:rFonts w:ascii="Calibri" w:hAnsi="Calibri" w:cs="Calibri"/>
          <w:lang w:val="en-GB"/>
        </w:rPr>
        <w:t>using</w:t>
      </w:r>
      <w:r w:rsidR="00C0484D" w:rsidRPr="00616282">
        <w:rPr>
          <w:rFonts w:ascii="Calibri" w:hAnsi="Calibri" w:cs="Calibri"/>
          <w:lang w:val="en-GB"/>
        </w:rPr>
        <w:t xml:space="preserve"> </w:t>
      </w:r>
      <w:r w:rsidRPr="00616282">
        <w:rPr>
          <w:rFonts w:ascii="Calibri" w:hAnsi="Calibri" w:cs="Calibri"/>
          <w:lang w:val="en-GB"/>
        </w:rPr>
        <w:t>climate-related scenario analysis to inform</w:t>
      </w:r>
      <w:r w:rsidR="00B8566F" w:rsidRPr="00616282">
        <w:rPr>
          <w:rFonts w:ascii="Calibri" w:hAnsi="Calibri" w:cs="Calibri"/>
          <w:lang w:val="en-GB"/>
        </w:rPr>
        <w:t xml:space="preserve"> </w:t>
      </w:r>
      <w:r w:rsidR="007E0062">
        <w:rPr>
          <w:rFonts w:ascii="Calibri" w:hAnsi="Calibri" w:cs="Calibri"/>
          <w:lang w:val="en-GB"/>
        </w:rPr>
        <w:t>the</w:t>
      </w:r>
      <w:r w:rsidR="007E0062" w:rsidRPr="00616282">
        <w:rPr>
          <w:rFonts w:ascii="Calibri" w:hAnsi="Calibri" w:cs="Calibri"/>
          <w:lang w:val="en-GB"/>
        </w:rPr>
        <w:t xml:space="preserve"> </w:t>
      </w:r>
      <w:r w:rsidRPr="00616282">
        <w:rPr>
          <w:rFonts w:ascii="Calibri" w:hAnsi="Calibri" w:cs="Calibri"/>
          <w:lang w:val="en-GB"/>
        </w:rPr>
        <w:t>identification of climate-related opportunities</w:t>
      </w:r>
      <w:r w:rsidR="00AC3D10" w:rsidRPr="00616282">
        <w:rPr>
          <w:rFonts w:ascii="Calibri" w:hAnsi="Calibri" w:cs="Calibri"/>
          <w:lang w:val="en-GB"/>
        </w:rPr>
        <w:t xml:space="preserve">, and the </w:t>
      </w:r>
      <w:r w:rsidRPr="00616282">
        <w:rPr>
          <w:rFonts w:ascii="Calibri" w:hAnsi="Calibri" w:cs="Calibri"/>
          <w:lang w:val="en-GB"/>
        </w:rPr>
        <w:t>integrat</w:t>
      </w:r>
      <w:r w:rsidR="00AC3D10" w:rsidRPr="00616282">
        <w:rPr>
          <w:rFonts w:ascii="Calibri" w:hAnsi="Calibri" w:cs="Calibri"/>
          <w:lang w:val="en-GB"/>
        </w:rPr>
        <w:t>ion</w:t>
      </w:r>
      <w:r w:rsidRPr="00616282">
        <w:rPr>
          <w:rFonts w:ascii="Calibri" w:hAnsi="Calibri" w:cs="Calibri"/>
          <w:lang w:val="en-GB"/>
        </w:rPr>
        <w:t xml:space="preserve"> into the entity’s overall risk management process.</w:t>
      </w:r>
    </w:p>
    <w:p w14:paraId="12728EC0" w14:textId="77777777" w:rsidR="00EB3FEE" w:rsidRPr="00616282" w:rsidRDefault="00EB3FEE" w:rsidP="00DF7099">
      <w:pPr>
        <w:rPr>
          <w:rFonts w:ascii="Calibri" w:hAnsi="Calibri" w:cs="Calibri"/>
        </w:rPr>
      </w:pPr>
    </w:p>
    <w:p w14:paraId="153328D9" w14:textId="77777777" w:rsidR="00157082" w:rsidRDefault="00157082">
      <w:r>
        <w:br w:type="page"/>
      </w:r>
    </w:p>
    <w:tbl>
      <w:tblPr>
        <w:tblStyle w:val="TableGrid"/>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639"/>
      </w:tblGrid>
      <w:tr w:rsidR="003202BA" w:rsidRPr="004725EE" w14:paraId="15770C63" w14:textId="77777777" w:rsidTr="00616EF0">
        <w:trPr>
          <w:trHeight w:val="739"/>
        </w:trPr>
        <w:tc>
          <w:tcPr>
            <w:tcW w:w="9639" w:type="dxa"/>
          </w:tcPr>
          <w:p w14:paraId="6338873D" w14:textId="59D35394" w:rsidR="003202BA" w:rsidRPr="00616282" w:rsidRDefault="003202BA" w:rsidP="00616EF0">
            <w:pPr>
              <w:rPr>
                <w:rFonts w:ascii="Calibri" w:hAnsi="Calibri" w:cs="Calibri"/>
                <w:b/>
                <w:bCs/>
                <w:color w:val="ED7D31" w:themeColor="accent2"/>
                <w:lang w:val="en-GB"/>
              </w:rPr>
            </w:pPr>
            <w:bookmarkStart w:id="83" w:name="_Toc175223827"/>
            <w:r w:rsidRPr="00616282">
              <w:rPr>
                <w:rFonts w:ascii="Calibri" w:hAnsi="Calibri" w:cs="Calibri"/>
                <w:b/>
                <w:bCs/>
                <w:color w:val="ED7D31" w:themeColor="accent2"/>
                <w:lang w:val="en-GB"/>
              </w:rPr>
              <w:lastRenderedPageBreak/>
              <w:t xml:space="preserve">Figure </w:t>
            </w:r>
            <w:r w:rsidRPr="00616282">
              <w:rPr>
                <w:rFonts w:ascii="Calibri" w:hAnsi="Calibri" w:cs="Calibri"/>
                <w:b/>
                <w:bCs/>
                <w:color w:val="ED7D31" w:themeColor="accent2"/>
                <w:lang w:val="en-GB"/>
              </w:rPr>
              <w:fldChar w:fldCharType="begin"/>
            </w:r>
            <w:r w:rsidRPr="00616282">
              <w:rPr>
                <w:rFonts w:ascii="Calibri" w:hAnsi="Calibri" w:cs="Calibri"/>
                <w:b/>
                <w:bCs/>
                <w:color w:val="ED7D31" w:themeColor="accent2"/>
                <w:lang w:val="en-GB"/>
              </w:rPr>
              <w:instrText xml:space="preserve"> SEQ Figure \* ARABIC </w:instrText>
            </w:r>
            <w:r w:rsidRPr="00616282">
              <w:rPr>
                <w:rFonts w:ascii="Calibri" w:hAnsi="Calibri" w:cs="Calibri"/>
                <w:b/>
                <w:bCs/>
                <w:color w:val="ED7D31" w:themeColor="accent2"/>
                <w:lang w:val="en-GB"/>
              </w:rPr>
              <w:fldChar w:fldCharType="separate"/>
            </w:r>
            <w:r w:rsidR="0096670A">
              <w:rPr>
                <w:rFonts w:ascii="Calibri" w:hAnsi="Calibri" w:cs="Calibri"/>
                <w:b/>
                <w:bCs/>
                <w:noProof/>
                <w:color w:val="ED7D31" w:themeColor="accent2"/>
                <w:lang w:val="en-GB"/>
              </w:rPr>
              <w:t>12</w:t>
            </w:r>
            <w:r w:rsidRPr="00616282">
              <w:rPr>
                <w:rFonts w:ascii="Calibri" w:hAnsi="Calibri" w:cs="Calibri"/>
                <w:b/>
                <w:bCs/>
                <w:color w:val="ED7D31" w:themeColor="accent2"/>
                <w:lang w:val="en-GB"/>
              </w:rPr>
              <w:fldChar w:fldCharType="end"/>
            </w:r>
            <w:r w:rsidRPr="00616282">
              <w:rPr>
                <w:rFonts w:ascii="Calibri" w:hAnsi="Calibri" w:cs="Calibri"/>
                <w:b/>
                <w:bCs/>
                <w:color w:val="ED7D31" w:themeColor="accent2"/>
                <w:lang w:val="en-GB"/>
              </w:rPr>
              <w:t>. TD Bank engagement topics for power and energy sector</w:t>
            </w:r>
            <w:bookmarkEnd w:id="83"/>
          </w:p>
        </w:tc>
      </w:tr>
      <w:tr w:rsidR="003202BA" w:rsidRPr="004725EE" w14:paraId="3069D74C" w14:textId="77777777" w:rsidTr="00616EF0">
        <w:trPr>
          <w:trHeight w:val="4201"/>
        </w:trPr>
        <w:tc>
          <w:tcPr>
            <w:tcW w:w="9639" w:type="dxa"/>
            <w:vAlign w:val="center"/>
          </w:tcPr>
          <w:p w14:paraId="084DB383" w14:textId="060896EB" w:rsidR="003202BA" w:rsidRPr="00616282" w:rsidRDefault="00616EF0" w:rsidP="00616EF0">
            <w:pPr>
              <w:pStyle w:val="Caption"/>
              <w:jc w:val="center"/>
              <w:rPr>
                <w:rFonts w:ascii="Calibri" w:hAnsi="Calibri" w:cs="Calibri"/>
                <w:b/>
                <w:i w:val="0"/>
                <w:iCs w:val="0"/>
                <w:color w:val="ED7D31" w:themeColor="accent2"/>
                <w:sz w:val="24"/>
                <w:szCs w:val="24"/>
                <w:lang w:val="en-GB"/>
              </w:rPr>
            </w:pPr>
            <w:r>
              <w:rPr>
                <w:rFonts w:ascii="Calibri" w:hAnsi="Calibri" w:cs="Calibri"/>
                <w:b/>
                <w:i w:val="0"/>
                <w:iCs w:val="0"/>
                <w:noProof/>
                <w:color w:val="ED7D31" w:themeColor="accent2"/>
                <w:sz w:val="24"/>
                <w:szCs w:val="24"/>
                <w:lang w:val="en-GB"/>
                <w14:ligatures w14:val="standardContextual"/>
              </w:rPr>
              <w:drawing>
                <wp:inline distT="0" distB="0" distL="0" distR="0" wp14:anchorId="12926541" wp14:editId="06E02783">
                  <wp:extent cx="4279900" cy="3120704"/>
                  <wp:effectExtent l="0" t="0" r="6350" b="3810"/>
                  <wp:docPr id="96418465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4184651" name="Picture 5"/>
                          <pic:cNvPicPr/>
                        </pic:nvPicPr>
                        <pic:blipFill rotWithShape="1">
                          <a:blip r:embed="rId37">
                            <a:extLst>
                              <a:ext uri="{BEBA8EAE-BF5A-486C-A8C5-ECC9F3942E4B}">
                                <a14:imgProps xmlns:a14="http://schemas.microsoft.com/office/drawing/2010/main">
                                  <a14:imgLayer r:embed="rId38">
                                    <a14:imgEffect>
                                      <a14:brightnessContrast bright="20000" contrast="-40000"/>
                                    </a14:imgEffect>
                                  </a14:imgLayer>
                                </a14:imgProps>
                              </a:ext>
                              <a:ext uri="{28A0092B-C50C-407E-A947-70E740481C1C}">
                                <a14:useLocalDpi xmlns:a14="http://schemas.microsoft.com/office/drawing/2010/main" val="0"/>
                              </a:ext>
                            </a:extLst>
                          </a:blip>
                          <a:srcRect b="2684"/>
                          <a:stretch/>
                        </pic:blipFill>
                        <pic:spPr bwMode="auto">
                          <a:xfrm>
                            <a:off x="0" y="0"/>
                            <a:ext cx="4280120" cy="3120865"/>
                          </a:xfrm>
                          <a:prstGeom prst="rect">
                            <a:avLst/>
                          </a:prstGeom>
                          <a:ln>
                            <a:noFill/>
                          </a:ln>
                          <a:extLst>
                            <a:ext uri="{53640926-AAD7-44D8-BBD7-CCE9431645EC}">
                              <a14:shadowObscured xmlns:a14="http://schemas.microsoft.com/office/drawing/2010/main"/>
                            </a:ext>
                          </a:extLst>
                        </pic:spPr>
                      </pic:pic>
                    </a:graphicData>
                  </a:graphic>
                </wp:inline>
              </w:drawing>
            </w:r>
          </w:p>
        </w:tc>
      </w:tr>
      <w:tr w:rsidR="003202BA" w:rsidRPr="004725EE" w14:paraId="458EE719" w14:textId="77777777" w:rsidTr="00616EF0">
        <w:trPr>
          <w:trHeight w:val="265"/>
        </w:trPr>
        <w:tc>
          <w:tcPr>
            <w:tcW w:w="9639" w:type="dxa"/>
          </w:tcPr>
          <w:p w14:paraId="6BA7A901" w14:textId="6F803DC6" w:rsidR="003202BA" w:rsidRPr="00616282" w:rsidRDefault="003202BA" w:rsidP="00321B2E">
            <w:pPr>
              <w:jc w:val="center"/>
              <w:rPr>
                <w:rFonts w:ascii="Calibri" w:hAnsi="Calibri" w:cs="Calibri"/>
                <w:sz w:val="20"/>
                <w:szCs w:val="20"/>
              </w:rPr>
            </w:pPr>
            <w:r w:rsidRPr="00616282">
              <w:rPr>
                <w:rFonts w:ascii="Calibri" w:hAnsi="Calibri" w:cs="Calibri"/>
                <w:b/>
                <w:bCs/>
                <w:sz w:val="20"/>
                <w:szCs w:val="20"/>
              </w:rPr>
              <w:t>Source</w:t>
            </w:r>
            <w:r w:rsidRPr="00616282">
              <w:rPr>
                <w:rFonts w:ascii="Calibri" w:hAnsi="Calibri" w:cs="Calibri"/>
                <w:sz w:val="20"/>
                <w:szCs w:val="20"/>
              </w:rPr>
              <w:t>: TD Bank. 2022. Climate Action Report.</w:t>
            </w:r>
          </w:p>
        </w:tc>
      </w:tr>
      <w:tr w:rsidR="003202BA" w:rsidRPr="004725EE" w14:paraId="22913279" w14:textId="77777777" w:rsidTr="00616EF0">
        <w:trPr>
          <w:trHeight w:val="255"/>
        </w:trPr>
        <w:tc>
          <w:tcPr>
            <w:tcW w:w="9639" w:type="dxa"/>
          </w:tcPr>
          <w:p w14:paraId="371CD6CC" w14:textId="77777777" w:rsidR="003202BA" w:rsidRPr="00616282" w:rsidRDefault="003202BA" w:rsidP="00321B2E">
            <w:pPr>
              <w:jc w:val="center"/>
              <w:rPr>
                <w:rFonts w:ascii="Calibri" w:hAnsi="Calibri" w:cs="Calibri"/>
                <w:b/>
                <w:bCs/>
                <w:sz w:val="20"/>
                <w:szCs w:val="20"/>
              </w:rPr>
            </w:pPr>
          </w:p>
        </w:tc>
      </w:tr>
      <w:tr w:rsidR="003202BA" w:rsidRPr="004725EE" w14:paraId="57B0A771" w14:textId="77777777" w:rsidTr="00616EF0">
        <w:trPr>
          <w:trHeight w:val="936"/>
        </w:trPr>
        <w:tc>
          <w:tcPr>
            <w:tcW w:w="9639" w:type="dxa"/>
          </w:tcPr>
          <w:p w14:paraId="343FDABB" w14:textId="64CD1D72" w:rsidR="003202BA" w:rsidRPr="00616282" w:rsidRDefault="003202BA" w:rsidP="00616EF0">
            <w:pPr>
              <w:rPr>
                <w:rFonts w:ascii="Calibri" w:hAnsi="Calibri" w:cs="Calibri"/>
                <w:b/>
                <w:bCs/>
                <w:sz w:val="20"/>
                <w:szCs w:val="20"/>
              </w:rPr>
            </w:pPr>
            <w:bookmarkStart w:id="84" w:name="_Toc175223828"/>
            <w:r w:rsidRPr="00616282">
              <w:rPr>
                <w:rFonts w:ascii="Calibri" w:hAnsi="Calibri" w:cs="Calibri"/>
                <w:b/>
                <w:bCs/>
                <w:color w:val="ED7D31" w:themeColor="accent2"/>
                <w:lang w:val="en-GB"/>
              </w:rPr>
              <w:t xml:space="preserve">Figure </w:t>
            </w:r>
            <w:r w:rsidRPr="00616282">
              <w:rPr>
                <w:rFonts w:ascii="Calibri" w:hAnsi="Calibri" w:cs="Calibri"/>
                <w:b/>
                <w:bCs/>
                <w:color w:val="ED7D31" w:themeColor="accent2"/>
                <w:lang w:val="en-GB"/>
              </w:rPr>
              <w:fldChar w:fldCharType="begin"/>
            </w:r>
            <w:r w:rsidRPr="00616282">
              <w:rPr>
                <w:rFonts w:ascii="Calibri" w:hAnsi="Calibri" w:cs="Calibri"/>
                <w:b/>
                <w:bCs/>
                <w:color w:val="ED7D31" w:themeColor="accent2"/>
                <w:lang w:val="en-GB"/>
              </w:rPr>
              <w:instrText xml:space="preserve"> SEQ Figure \* ARABIC </w:instrText>
            </w:r>
            <w:r w:rsidRPr="00616282">
              <w:rPr>
                <w:rFonts w:ascii="Calibri" w:hAnsi="Calibri" w:cs="Calibri"/>
                <w:b/>
                <w:bCs/>
                <w:color w:val="ED7D31" w:themeColor="accent2"/>
                <w:lang w:val="en-GB"/>
              </w:rPr>
              <w:fldChar w:fldCharType="separate"/>
            </w:r>
            <w:r w:rsidR="0096670A">
              <w:rPr>
                <w:rFonts w:ascii="Calibri" w:hAnsi="Calibri" w:cs="Calibri"/>
                <w:b/>
                <w:bCs/>
                <w:noProof/>
                <w:color w:val="ED7D31" w:themeColor="accent2"/>
                <w:lang w:val="en-GB"/>
              </w:rPr>
              <w:t>13</w:t>
            </w:r>
            <w:r w:rsidRPr="00616282">
              <w:rPr>
                <w:rFonts w:ascii="Calibri" w:hAnsi="Calibri" w:cs="Calibri"/>
                <w:b/>
                <w:bCs/>
                <w:color w:val="ED7D31" w:themeColor="accent2"/>
                <w:lang w:val="en-GB"/>
              </w:rPr>
              <w:fldChar w:fldCharType="end"/>
            </w:r>
            <w:r w:rsidRPr="00616282">
              <w:rPr>
                <w:rFonts w:ascii="Calibri" w:hAnsi="Calibri" w:cs="Calibri"/>
                <w:b/>
                <w:bCs/>
                <w:color w:val="ED7D31" w:themeColor="accent2"/>
                <w:lang w:val="en-GB"/>
              </w:rPr>
              <w:t>. BNP Paribas ESG assessment tool to identify, assess and monitor the performance and ESG risks of corporate clients by sector</w:t>
            </w:r>
            <w:bookmarkEnd w:id="84"/>
          </w:p>
        </w:tc>
      </w:tr>
      <w:tr w:rsidR="003202BA" w:rsidRPr="004725EE" w14:paraId="28ABCD24" w14:textId="77777777" w:rsidTr="00616EF0">
        <w:trPr>
          <w:trHeight w:val="2691"/>
        </w:trPr>
        <w:tc>
          <w:tcPr>
            <w:tcW w:w="9639" w:type="dxa"/>
          </w:tcPr>
          <w:p w14:paraId="37720F3E" w14:textId="73DBC269" w:rsidR="003202BA" w:rsidRPr="00616282" w:rsidRDefault="003202BA" w:rsidP="00321B2E">
            <w:pPr>
              <w:jc w:val="center"/>
              <w:rPr>
                <w:rFonts w:ascii="Calibri" w:hAnsi="Calibri" w:cs="Calibri"/>
                <w:b/>
                <w:bCs/>
                <w:sz w:val="20"/>
                <w:szCs w:val="20"/>
              </w:rPr>
            </w:pPr>
            <w:r>
              <w:rPr>
                <w:rFonts w:ascii="Calibri" w:hAnsi="Calibri" w:cs="Calibri"/>
                <w:b/>
                <w:bCs/>
                <w:noProof/>
                <w:sz w:val="20"/>
                <w:szCs w:val="20"/>
              </w:rPr>
              <w:drawing>
                <wp:inline distT="0" distB="0" distL="0" distR="0" wp14:anchorId="3FB0AA74" wp14:editId="67346581">
                  <wp:extent cx="5067165" cy="2237105"/>
                  <wp:effectExtent l="0" t="0" r="635" b="0"/>
                  <wp:docPr id="192650460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076951" cy="2241425"/>
                          </a:xfrm>
                          <a:prstGeom prst="rect">
                            <a:avLst/>
                          </a:prstGeom>
                          <a:noFill/>
                        </pic:spPr>
                      </pic:pic>
                    </a:graphicData>
                  </a:graphic>
                </wp:inline>
              </w:drawing>
            </w:r>
          </w:p>
        </w:tc>
      </w:tr>
      <w:tr w:rsidR="003202BA" w:rsidRPr="004725EE" w14:paraId="08608C68" w14:textId="77777777" w:rsidTr="00616EF0">
        <w:trPr>
          <w:trHeight w:val="265"/>
        </w:trPr>
        <w:tc>
          <w:tcPr>
            <w:tcW w:w="9639" w:type="dxa"/>
          </w:tcPr>
          <w:p w14:paraId="0AB8C607" w14:textId="0CAA4745" w:rsidR="003202BA" w:rsidRPr="00616282" w:rsidRDefault="003202BA" w:rsidP="003202BA">
            <w:pPr>
              <w:jc w:val="center"/>
              <w:rPr>
                <w:rFonts w:ascii="Calibri" w:hAnsi="Calibri" w:cs="Calibri"/>
                <w:b/>
                <w:bCs/>
                <w:sz w:val="20"/>
                <w:szCs w:val="20"/>
              </w:rPr>
            </w:pPr>
            <w:r w:rsidRPr="00616282">
              <w:rPr>
                <w:rFonts w:ascii="Calibri" w:hAnsi="Calibri" w:cs="Calibri"/>
                <w:b/>
                <w:bCs/>
                <w:sz w:val="20"/>
                <w:szCs w:val="20"/>
              </w:rPr>
              <w:t>Source</w:t>
            </w:r>
            <w:r w:rsidRPr="00616282">
              <w:rPr>
                <w:rFonts w:ascii="Calibri" w:hAnsi="Calibri" w:cs="Calibri"/>
                <w:sz w:val="20"/>
                <w:szCs w:val="20"/>
              </w:rPr>
              <w:t>: BNP Paribas. 2022. Climate Report</w:t>
            </w:r>
          </w:p>
        </w:tc>
      </w:tr>
    </w:tbl>
    <w:p w14:paraId="31892A7B" w14:textId="77777777" w:rsidR="001015AB" w:rsidRPr="00616282" w:rsidRDefault="001015AB" w:rsidP="00F954E3">
      <w:pPr>
        <w:rPr>
          <w:rFonts w:ascii="Calibri" w:hAnsi="Calibri" w:cs="Calibri"/>
          <w:lang w:val="en-GB"/>
        </w:rPr>
      </w:pPr>
    </w:p>
    <w:p w14:paraId="218C11A2" w14:textId="0C3C95CF" w:rsidR="00321AAA" w:rsidRPr="00616282" w:rsidRDefault="00321AAA" w:rsidP="00F954E3">
      <w:pPr>
        <w:rPr>
          <w:rFonts w:ascii="Calibri" w:hAnsi="Calibri" w:cs="Calibri"/>
          <w:bCs/>
          <w:lang w:val="en-GB"/>
        </w:rPr>
      </w:pPr>
      <w:bookmarkStart w:id="85" w:name="_Toc167079304"/>
      <w:r w:rsidRPr="00616282">
        <w:rPr>
          <w:rFonts w:ascii="Calibri" w:hAnsi="Calibri" w:cs="Calibri"/>
          <w:bCs/>
          <w:lang w:val="en-GB"/>
        </w:rPr>
        <w:t xml:space="preserve">The Framework Templates </w:t>
      </w:r>
      <w:r w:rsidR="00D84074" w:rsidRPr="00616282">
        <w:rPr>
          <w:rFonts w:ascii="Calibri" w:hAnsi="Calibri" w:cs="Calibri"/>
          <w:bCs/>
          <w:lang w:val="en-GB"/>
        </w:rPr>
        <w:t xml:space="preserve">utilize a qualitative questionnaire for banks to demonstrate their </w:t>
      </w:r>
      <w:r w:rsidR="0008057D">
        <w:rPr>
          <w:rFonts w:ascii="Calibri" w:hAnsi="Calibri" w:cs="Calibri"/>
          <w:bCs/>
          <w:lang w:val="en-GB"/>
        </w:rPr>
        <w:t>climate-related</w:t>
      </w:r>
      <w:r w:rsidR="008950A8" w:rsidRPr="00616282">
        <w:rPr>
          <w:rFonts w:ascii="Calibri" w:hAnsi="Calibri" w:cs="Calibri"/>
          <w:bCs/>
          <w:lang w:val="en-GB"/>
        </w:rPr>
        <w:t xml:space="preserve"> risk management process in as much detail as possible</w:t>
      </w:r>
      <w:r w:rsidR="007E0062">
        <w:rPr>
          <w:rFonts w:ascii="Calibri" w:hAnsi="Calibri" w:cs="Calibri"/>
          <w:bCs/>
          <w:lang w:val="en-GB"/>
        </w:rPr>
        <w:t>,</w:t>
      </w:r>
      <w:r w:rsidR="008950A8" w:rsidRPr="00616282">
        <w:rPr>
          <w:rFonts w:ascii="Calibri" w:hAnsi="Calibri" w:cs="Calibri"/>
          <w:bCs/>
          <w:lang w:val="en-GB"/>
        </w:rPr>
        <w:t xml:space="preserve"> addressing several points as shown below.</w:t>
      </w:r>
      <w:bookmarkEnd w:id="85"/>
    </w:p>
    <w:p w14:paraId="3394FB28" w14:textId="77777777" w:rsidR="00BC4DB8" w:rsidRPr="00616282" w:rsidRDefault="00BC4DB8" w:rsidP="00F954E3">
      <w:pPr>
        <w:rPr>
          <w:rFonts w:ascii="Calibri" w:hAnsi="Calibri" w:cs="Calibri"/>
          <w:bCs/>
          <w:lang w:val="en-GB"/>
        </w:rPr>
      </w:pPr>
    </w:p>
    <w:p w14:paraId="2EA4B668" w14:textId="77777777" w:rsidR="0008057D" w:rsidRDefault="0008057D">
      <w:pPr>
        <w:rPr>
          <w:rFonts w:ascii="Calibri" w:hAnsi="Calibri" w:cs="Calibri"/>
          <w:b/>
          <w:bCs/>
          <w:color w:val="ED7D31" w:themeColor="accent2"/>
          <w:lang w:val="en-GB"/>
        </w:rPr>
      </w:pPr>
      <w:bookmarkStart w:id="86" w:name="_Toc171908210"/>
      <w:r>
        <w:rPr>
          <w:rFonts w:ascii="Calibri" w:hAnsi="Calibri" w:cs="Calibri"/>
          <w:b/>
          <w:bCs/>
          <w:color w:val="ED7D31" w:themeColor="accent2"/>
          <w:lang w:val="en-GB"/>
        </w:rPr>
        <w:br w:type="page"/>
      </w:r>
    </w:p>
    <w:p w14:paraId="717DBA0D" w14:textId="4D86330E" w:rsidR="008950A8" w:rsidRDefault="00BC4DB8" w:rsidP="00616282">
      <w:pPr>
        <w:rPr>
          <w:rFonts w:ascii="Calibri" w:hAnsi="Calibri" w:cs="Calibri"/>
          <w:b/>
          <w:bCs/>
          <w:color w:val="ED7D31" w:themeColor="accent2"/>
          <w:lang w:val="en-GB"/>
        </w:rPr>
      </w:pPr>
      <w:r w:rsidRPr="00616282">
        <w:rPr>
          <w:rFonts w:ascii="Calibri" w:hAnsi="Calibri" w:cs="Calibri"/>
          <w:b/>
          <w:bCs/>
          <w:color w:val="ED7D31" w:themeColor="accent2"/>
          <w:lang w:val="en-GB"/>
        </w:rPr>
        <w:lastRenderedPageBreak/>
        <w:t xml:space="preserve">Table </w:t>
      </w:r>
      <w:r w:rsidRPr="00616282">
        <w:rPr>
          <w:rFonts w:ascii="Calibri" w:hAnsi="Calibri" w:cs="Calibri"/>
          <w:b/>
          <w:bCs/>
          <w:color w:val="ED7D31" w:themeColor="accent2"/>
          <w:lang w:val="en-GB"/>
        </w:rPr>
        <w:fldChar w:fldCharType="begin"/>
      </w:r>
      <w:r w:rsidRPr="00616282">
        <w:rPr>
          <w:rFonts w:ascii="Calibri" w:hAnsi="Calibri" w:cs="Calibri"/>
          <w:b/>
          <w:bCs/>
          <w:color w:val="ED7D31" w:themeColor="accent2"/>
          <w:lang w:val="en-GB"/>
        </w:rPr>
        <w:instrText xml:space="preserve"> SEQ Table \* ARABIC </w:instrText>
      </w:r>
      <w:r w:rsidRPr="00616282">
        <w:rPr>
          <w:rFonts w:ascii="Calibri" w:hAnsi="Calibri" w:cs="Calibri"/>
          <w:b/>
          <w:bCs/>
          <w:color w:val="ED7D31" w:themeColor="accent2"/>
          <w:lang w:val="en-GB"/>
        </w:rPr>
        <w:fldChar w:fldCharType="separate"/>
      </w:r>
      <w:r w:rsidR="0096670A">
        <w:rPr>
          <w:rFonts w:ascii="Calibri" w:hAnsi="Calibri" w:cs="Calibri"/>
          <w:b/>
          <w:bCs/>
          <w:noProof/>
          <w:color w:val="ED7D31" w:themeColor="accent2"/>
          <w:lang w:val="en-GB"/>
        </w:rPr>
        <w:t>16</w:t>
      </w:r>
      <w:r w:rsidRPr="00616282">
        <w:rPr>
          <w:rFonts w:ascii="Calibri" w:hAnsi="Calibri" w:cs="Calibri"/>
          <w:b/>
          <w:bCs/>
          <w:color w:val="ED7D31" w:themeColor="accent2"/>
          <w:lang w:val="en-GB"/>
        </w:rPr>
        <w:fldChar w:fldCharType="end"/>
      </w:r>
      <w:r w:rsidRPr="00616282">
        <w:rPr>
          <w:rFonts w:ascii="Calibri" w:hAnsi="Calibri" w:cs="Calibri"/>
          <w:b/>
          <w:bCs/>
          <w:color w:val="ED7D31" w:themeColor="accent2"/>
          <w:lang w:val="en-GB"/>
        </w:rPr>
        <w:t xml:space="preserve"> </w:t>
      </w:r>
      <w:r w:rsidR="00EF1B91" w:rsidRPr="00616282">
        <w:rPr>
          <w:rFonts w:ascii="Calibri" w:hAnsi="Calibri" w:cs="Calibri"/>
          <w:b/>
          <w:bCs/>
          <w:color w:val="ED7D31" w:themeColor="accent2"/>
          <w:lang w:val="en-GB"/>
        </w:rPr>
        <w:t>Framework Template questionnaire on risk management, scenarios, and transition planning</w:t>
      </w:r>
      <w:bookmarkEnd w:id="86"/>
    </w:p>
    <w:p w14:paraId="5A70F6D5" w14:textId="4626F39E" w:rsidR="008950A8" w:rsidRPr="00616282" w:rsidRDefault="00BC4DB8" w:rsidP="00F954E3">
      <w:pPr>
        <w:rPr>
          <w:rFonts w:ascii="Calibri" w:hAnsi="Calibri" w:cs="Calibri"/>
          <w:lang w:val="en-GB"/>
        </w:rPr>
      </w:pPr>
      <w:bookmarkStart w:id="87" w:name="_Toc167079305"/>
      <w:r w:rsidRPr="00616282">
        <w:rPr>
          <w:rFonts w:ascii="Calibri" w:hAnsi="Calibri" w:cs="Calibri"/>
          <w:noProof/>
          <w:lang w:val="en-GB"/>
        </w:rPr>
        <w:drawing>
          <wp:inline distT="0" distB="0" distL="0" distR="0" wp14:anchorId="5F5CC82B" wp14:editId="574F149C">
            <wp:extent cx="5731510" cy="1547495"/>
            <wp:effectExtent l="0" t="0" r="0" b="1905"/>
            <wp:docPr id="2799720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997203" name=""/>
                    <pic:cNvPicPr/>
                  </pic:nvPicPr>
                  <pic:blipFill>
                    <a:blip r:embed="rId40"/>
                    <a:stretch>
                      <a:fillRect/>
                    </a:stretch>
                  </pic:blipFill>
                  <pic:spPr>
                    <a:xfrm>
                      <a:off x="0" y="0"/>
                      <a:ext cx="5731510" cy="1547495"/>
                    </a:xfrm>
                    <a:prstGeom prst="rect">
                      <a:avLst/>
                    </a:prstGeom>
                  </pic:spPr>
                </pic:pic>
              </a:graphicData>
            </a:graphic>
          </wp:inline>
        </w:drawing>
      </w:r>
      <w:bookmarkEnd w:id="87"/>
    </w:p>
    <w:p w14:paraId="58A23CBB" w14:textId="77777777" w:rsidR="00A74BD5" w:rsidRPr="00616282" w:rsidRDefault="00A74BD5" w:rsidP="00A74BD5">
      <w:pPr>
        <w:jc w:val="both"/>
        <w:rPr>
          <w:rFonts w:ascii="Calibri" w:hAnsi="Calibri" w:cs="Calibri"/>
          <w:sz w:val="20"/>
          <w:szCs w:val="20"/>
          <w:lang w:val="en-GB"/>
        </w:rPr>
      </w:pPr>
      <w:r w:rsidRPr="00616282">
        <w:rPr>
          <w:rFonts w:ascii="Calibri" w:hAnsi="Calibri" w:cs="Calibri"/>
          <w:b/>
          <w:bCs/>
          <w:sz w:val="20"/>
          <w:szCs w:val="20"/>
          <w:lang w:val="en-GB"/>
        </w:rPr>
        <w:t>Source</w:t>
      </w:r>
      <w:r w:rsidRPr="00616282">
        <w:rPr>
          <w:rFonts w:ascii="Calibri" w:hAnsi="Calibri" w:cs="Calibri"/>
          <w:sz w:val="20"/>
          <w:szCs w:val="20"/>
          <w:lang w:val="en-GB"/>
        </w:rPr>
        <w:t>: Adapted from European Banking Authority. 2022. Final</w:t>
      </w:r>
      <w:r w:rsidRPr="00616282">
        <w:rPr>
          <w:rFonts w:ascii="Calibri" w:hAnsi="Calibri" w:cs="Calibri"/>
          <w:sz w:val="20"/>
          <w:szCs w:val="20"/>
        </w:rPr>
        <w:t xml:space="preserve"> report draft implementing technical standards (ITS) on prudential disclosures on ESG. </w:t>
      </w:r>
    </w:p>
    <w:p w14:paraId="46DD6EAE" w14:textId="77777777" w:rsidR="000275C4" w:rsidRPr="00616282" w:rsidRDefault="000275C4" w:rsidP="00FB0DA0">
      <w:pPr>
        <w:outlineLvl w:val="0"/>
        <w:rPr>
          <w:rFonts w:ascii="Calibri" w:hAnsi="Calibri" w:cs="Calibri"/>
          <w:lang w:val="en-GB"/>
        </w:rPr>
      </w:pPr>
    </w:p>
    <w:p w14:paraId="0021FBFF" w14:textId="11CEA911" w:rsidR="00EE2352" w:rsidRPr="00616282" w:rsidRDefault="00EE2352" w:rsidP="0061766C">
      <w:pPr>
        <w:pStyle w:val="Heading1"/>
        <w:pBdr>
          <w:bottom w:val="single" w:sz="8" w:space="1" w:color="2E74B5" w:themeColor="accent5" w:themeShade="BF"/>
        </w:pBdr>
        <w:rPr>
          <w:rFonts w:ascii="Calibri" w:hAnsi="Calibri" w:cs="Calibri"/>
        </w:rPr>
      </w:pPr>
      <w:bookmarkStart w:id="88" w:name="_Toc167079306"/>
      <w:bookmarkStart w:id="89" w:name="_Toc171908189"/>
      <w:r w:rsidRPr="00616282">
        <w:rPr>
          <w:rFonts w:ascii="Calibri" w:hAnsi="Calibri" w:cs="Calibri"/>
        </w:rPr>
        <w:t>Metrics and targets</w:t>
      </w:r>
      <w:bookmarkEnd w:id="88"/>
      <w:bookmarkEnd w:id="89"/>
    </w:p>
    <w:p w14:paraId="5610E501" w14:textId="77777777" w:rsidR="000612E7" w:rsidRPr="00616282" w:rsidRDefault="000612E7" w:rsidP="00FB0DA0">
      <w:pPr>
        <w:pStyle w:val="ListParagraph"/>
        <w:contextualSpacing w:val="0"/>
        <w:outlineLvl w:val="0"/>
        <w:rPr>
          <w:rFonts w:ascii="Calibri" w:hAnsi="Calibri" w:cs="Calibri"/>
          <w:b/>
          <w:bCs/>
          <w:color w:val="ED7D31" w:themeColor="accent2"/>
          <w:lang w:val="en-GB"/>
        </w:rPr>
      </w:pPr>
    </w:p>
    <w:p w14:paraId="17699F53" w14:textId="37AAF3B6" w:rsidR="00F02154" w:rsidRPr="00616282" w:rsidRDefault="00A250BA" w:rsidP="00E60D4F">
      <w:pPr>
        <w:jc w:val="both"/>
        <w:rPr>
          <w:rFonts w:ascii="Calibri" w:hAnsi="Calibri" w:cs="Calibri"/>
          <w:lang w:val="en-GB"/>
        </w:rPr>
      </w:pPr>
      <w:r w:rsidRPr="00616282">
        <w:rPr>
          <w:rFonts w:ascii="Calibri" w:hAnsi="Calibri" w:cs="Calibri"/>
          <w:color w:val="000000" w:themeColor="text1"/>
          <w:lang w:val="en-GB"/>
        </w:rPr>
        <w:t>The Central Bank of Kenya’s expectation</w:t>
      </w:r>
      <w:r w:rsidR="00A91F8E" w:rsidRPr="00616282">
        <w:rPr>
          <w:rFonts w:ascii="Calibri" w:hAnsi="Calibri" w:cs="Calibri"/>
          <w:color w:val="000000" w:themeColor="text1"/>
          <w:lang w:val="en-GB"/>
        </w:rPr>
        <w:t>s</w:t>
      </w:r>
      <w:r w:rsidRPr="00616282">
        <w:rPr>
          <w:rFonts w:ascii="Calibri" w:hAnsi="Calibri" w:cs="Calibri"/>
          <w:color w:val="000000" w:themeColor="text1"/>
          <w:lang w:val="en-GB"/>
        </w:rPr>
        <w:t xml:space="preserve"> on metrics and targets are </w:t>
      </w:r>
      <w:r w:rsidR="00851DBA" w:rsidRPr="00616282">
        <w:rPr>
          <w:rFonts w:ascii="Calibri" w:hAnsi="Calibri" w:cs="Calibri"/>
          <w:color w:val="000000" w:themeColor="text1"/>
          <w:lang w:val="en-GB"/>
        </w:rPr>
        <w:t xml:space="preserve">covered in </w:t>
      </w:r>
      <w:r w:rsidR="005673A1" w:rsidRPr="00616282">
        <w:rPr>
          <w:rFonts w:ascii="Calibri" w:hAnsi="Calibri" w:cs="Calibri"/>
          <w:color w:val="000000" w:themeColor="text1"/>
          <w:lang w:val="en-GB"/>
        </w:rPr>
        <w:t>Section 3.4.5</w:t>
      </w:r>
      <w:r w:rsidR="00E0259F" w:rsidRPr="00616282">
        <w:rPr>
          <w:rFonts w:ascii="Calibri" w:hAnsi="Calibri" w:cs="Calibri"/>
          <w:color w:val="000000" w:themeColor="text1"/>
          <w:lang w:val="en-GB"/>
        </w:rPr>
        <w:t>.</w:t>
      </w:r>
      <w:r w:rsidRPr="00616282">
        <w:rPr>
          <w:rFonts w:ascii="Calibri" w:hAnsi="Calibri" w:cs="Calibri"/>
          <w:color w:val="000000" w:themeColor="text1"/>
          <w:lang w:val="en-GB"/>
        </w:rPr>
        <w:t xml:space="preserve"> </w:t>
      </w:r>
      <w:r w:rsidR="00F02154" w:rsidRPr="00616282">
        <w:rPr>
          <w:rFonts w:ascii="Calibri" w:hAnsi="Calibri" w:cs="Calibri"/>
          <w:lang w:val="en-GB"/>
        </w:rPr>
        <w:t xml:space="preserve">The disclosure of climate-related metrics and targets </w:t>
      </w:r>
      <w:r w:rsidR="00600059" w:rsidRPr="00616282">
        <w:rPr>
          <w:rFonts w:ascii="Calibri" w:hAnsi="Calibri" w:cs="Calibri"/>
          <w:lang w:val="en-GB"/>
        </w:rPr>
        <w:t xml:space="preserve">illuminates </w:t>
      </w:r>
      <w:r w:rsidR="00796B7E">
        <w:rPr>
          <w:rFonts w:ascii="Calibri" w:hAnsi="Calibri" w:cs="Calibri"/>
          <w:lang w:val="en-GB"/>
        </w:rPr>
        <w:t xml:space="preserve">a </w:t>
      </w:r>
      <w:r w:rsidR="003128E3" w:rsidRPr="00616282">
        <w:rPr>
          <w:rFonts w:ascii="Calibri" w:hAnsi="Calibri" w:cs="Calibri"/>
          <w:lang w:val="en-GB"/>
        </w:rPr>
        <w:t xml:space="preserve">bank’s </w:t>
      </w:r>
      <w:r w:rsidR="00BD2562" w:rsidRPr="00616282">
        <w:rPr>
          <w:rFonts w:ascii="Calibri" w:hAnsi="Calibri" w:cs="Calibri"/>
          <w:lang w:val="en-GB"/>
        </w:rPr>
        <w:t xml:space="preserve">internalization of </w:t>
      </w:r>
      <w:r w:rsidR="0008057D">
        <w:rPr>
          <w:rFonts w:ascii="Calibri" w:hAnsi="Calibri" w:cs="Calibri"/>
          <w:lang w:val="en-GB"/>
        </w:rPr>
        <w:t>climate-related</w:t>
      </w:r>
      <w:r w:rsidR="00BD2562" w:rsidRPr="00616282">
        <w:rPr>
          <w:rFonts w:ascii="Calibri" w:hAnsi="Calibri" w:cs="Calibri"/>
          <w:lang w:val="en-GB"/>
        </w:rPr>
        <w:t xml:space="preserve"> risks and opportunities across strategy, governance, and risk management.</w:t>
      </w:r>
      <w:r w:rsidR="00F02154" w:rsidRPr="00616282">
        <w:rPr>
          <w:rFonts w:ascii="Calibri" w:hAnsi="Calibri" w:cs="Calibri"/>
          <w:lang w:val="en-GB"/>
        </w:rPr>
        <w:t xml:space="preserve"> </w:t>
      </w:r>
      <w:r w:rsidR="0048733D" w:rsidRPr="00616282">
        <w:rPr>
          <w:rFonts w:ascii="Calibri" w:hAnsi="Calibri" w:cs="Calibri"/>
          <w:lang w:val="en-GB"/>
        </w:rPr>
        <w:t>A robust set of metrics and targets informs stakeholders on the extent to which climate</w:t>
      </w:r>
      <w:r w:rsidR="00796B7E">
        <w:rPr>
          <w:rFonts w:ascii="Calibri" w:hAnsi="Calibri" w:cs="Calibri"/>
          <w:lang w:val="en-GB"/>
        </w:rPr>
        <w:t>-</w:t>
      </w:r>
      <w:r w:rsidR="0048733D" w:rsidRPr="00616282">
        <w:rPr>
          <w:rFonts w:ascii="Calibri" w:hAnsi="Calibri" w:cs="Calibri"/>
          <w:lang w:val="en-GB"/>
        </w:rPr>
        <w:t>related matters have been considered an</w:t>
      </w:r>
      <w:r w:rsidR="00E014CF" w:rsidRPr="00616282">
        <w:rPr>
          <w:rFonts w:ascii="Calibri" w:hAnsi="Calibri" w:cs="Calibri"/>
          <w:lang w:val="en-GB"/>
        </w:rPr>
        <w:t>d quantified</w:t>
      </w:r>
      <w:r w:rsidR="00F02154" w:rsidRPr="00616282">
        <w:rPr>
          <w:rFonts w:ascii="Calibri" w:hAnsi="Calibri" w:cs="Calibri"/>
          <w:lang w:val="en-GB"/>
        </w:rPr>
        <w:t xml:space="preserve">. </w:t>
      </w:r>
      <w:r w:rsidR="00103890" w:rsidRPr="00616282">
        <w:rPr>
          <w:rFonts w:ascii="Calibri" w:hAnsi="Calibri" w:cs="Calibri"/>
          <w:lang w:val="en-GB"/>
        </w:rPr>
        <w:t>Critically, financed emissions</w:t>
      </w:r>
      <w:r w:rsidR="00F5261E" w:rsidRPr="00616282">
        <w:rPr>
          <w:rFonts w:ascii="Calibri" w:hAnsi="Calibri" w:cs="Calibri"/>
          <w:lang w:val="en-GB"/>
        </w:rPr>
        <w:t>, a sub-component of Scope 3 and the largest share of total emissions for financial institutions, should be a priority metric</w:t>
      </w:r>
      <w:r w:rsidR="0014377D" w:rsidRPr="00616282">
        <w:rPr>
          <w:rFonts w:ascii="Calibri" w:hAnsi="Calibri" w:cs="Calibri"/>
          <w:lang w:val="en-GB"/>
        </w:rPr>
        <w:t xml:space="preserve">. </w:t>
      </w:r>
      <w:r w:rsidR="005D5F8B" w:rsidRPr="00616282">
        <w:rPr>
          <w:rFonts w:ascii="Calibri" w:hAnsi="Calibri" w:cs="Calibri"/>
          <w:lang w:val="en-GB"/>
        </w:rPr>
        <w:t xml:space="preserve">Additional commonly used metrics </w:t>
      </w:r>
      <w:r w:rsidR="00C425AE" w:rsidRPr="00616282">
        <w:rPr>
          <w:rFonts w:ascii="Calibri" w:hAnsi="Calibri" w:cs="Calibri"/>
          <w:lang w:val="en-GB"/>
        </w:rPr>
        <w:t xml:space="preserve">include </w:t>
      </w:r>
      <w:r w:rsidR="0032375A" w:rsidRPr="00616282">
        <w:rPr>
          <w:rFonts w:ascii="Calibri" w:hAnsi="Calibri" w:cs="Calibri"/>
          <w:lang w:val="en-GB"/>
        </w:rPr>
        <w:t>alignment metrics</w:t>
      </w:r>
      <w:r w:rsidR="00796B7E">
        <w:rPr>
          <w:rFonts w:ascii="Calibri" w:hAnsi="Calibri" w:cs="Calibri"/>
          <w:lang w:val="en-GB"/>
        </w:rPr>
        <w:t>,</w:t>
      </w:r>
      <w:r w:rsidR="0032375A" w:rsidRPr="00616282">
        <w:rPr>
          <w:rFonts w:ascii="Calibri" w:hAnsi="Calibri" w:cs="Calibri"/>
          <w:lang w:val="en-GB"/>
        </w:rPr>
        <w:t xml:space="preserve"> which are derived from climate-scenarios or sector</w:t>
      </w:r>
      <w:r w:rsidR="00796B7E">
        <w:rPr>
          <w:rFonts w:ascii="Calibri" w:hAnsi="Calibri" w:cs="Calibri"/>
          <w:lang w:val="en-GB"/>
        </w:rPr>
        <w:t>-</w:t>
      </w:r>
      <w:r w:rsidR="0032375A" w:rsidRPr="00616282">
        <w:rPr>
          <w:rFonts w:ascii="Calibri" w:hAnsi="Calibri" w:cs="Calibri"/>
          <w:lang w:val="en-GB"/>
        </w:rPr>
        <w:t>based decarbonization pathways</w:t>
      </w:r>
      <w:r w:rsidR="00F02154" w:rsidRPr="00616282">
        <w:rPr>
          <w:rFonts w:ascii="Calibri" w:hAnsi="Calibri" w:cs="Calibri"/>
          <w:lang w:val="en-GB"/>
        </w:rPr>
        <w:t>.</w:t>
      </w:r>
      <w:r w:rsidR="00C01A55" w:rsidRPr="00616282">
        <w:rPr>
          <w:rFonts w:ascii="Calibri" w:hAnsi="Calibri" w:cs="Calibri"/>
          <w:lang w:val="en-GB"/>
        </w:rPr>
        <w:t xml:space="preserve"> There are also </w:t>
      </w:r>
      <w:r w:rsidR="00B720D9" w:rsidRPr="00616282">
        <w:rPr>
          <w:rFonts w:ascii="Calibri" w:hAnsi="Calibri" w:cs="Calibri"/>
          <w:lang w:val="en-GB"/>
        </w:rPr>
        <w:t>growth-oriented</w:t>
      </w:r>
      <w:r w:rsidR="00C01A55" w:rsidRPr="00616282">
        <w:rPr>
          <w:rFonts w:ascii="Calibri" w:hAnsi="Calibri" w:cs="Calibri"/>
          <w:lang w:val="en-GB"/>
        </w:rPr>
        <w:t xml:space="preserve"> metrics and targets concerning green portfolios that align with mitigation, adaptation, or other environmental criteria. </w:t>
      </w:r>
    </w:p>
    <w:p w14:paraId="2E8F7042" w14:textId="77777777" w:rsidR="000612E7" w:rsidRPr="00616282" w:rsidRDefault="000612E7" w:rsidP="00FB0DA0">
      <w:pPr>
        <w:pStyle w:val="ListParagraph"/>
        <w:contextualSpacing w:val="0"/>
        <w:outlineLvl w:val="0"/>
        <w:rPr>
          <w:rFonts w:ascii="Calibri" w:hAnsi="Calibri" w:cs="Calibri"/>
          <w:b/>
          <w:bCs/>
          <w:color w:val="ED7D31" w:themeColor="accent2"/>
          <w:lang w:val="en-GB"/>
        </w:rPr>
      </w:pPr>
    </w:p>
    <w:p w14:paraId="11310F7F" w14:textId="747CEB04" w:rsidR="005C24D1" w:rsidRPr="00616282" w:rsidRDefault="003A5F3D" w:rsidP="00616282">
      <w:pPr>
        <w:rPr>
          <w:rFonts w:ascii="Calibri" w:hAnsi="Calibri" w:cs="Calibri"/>
          <w:b/>
          <w:bCs/>
          <w:color w:val="ED7D31" w:themeColor="accent2"/>
          <w:lang w:val="en-GB"/>
        </w:rPr>
      </w:pPr>
      <w:bookmarkStart w:id="90" w:name="_Toc171908211"/>
      <w:r w:rsidRPr="00616282">
        <w:rPr>
          <w:rFonts w:ascii="Calibri" w:hAnsi="Calibri" w:cs="Calibri"/>
          <w:b/>
          <w:bCs/>
          <w:color w:val="ED7D31" w:themeColor="accent2"/>
          <w:lang w:val="en-GB"/>
        </w:rPr>
        <w:t xml:space="preserve">Table </w:t>
      </w:r>
      <w:r w:rsidRPr="00616282">
        <w:rPr>
          <w:rFonts w:ascii="Calibri" w:hAnsi="Calibri" w:cs="Calibri"/>
          <w:b/>
          <w:bCs/>
          <w:color w:val="ED7D31" w:themeColor="accent2"/>
          <w:lang w:val="en-GB"/>
        </w:rPr>
        <w:fldChar w:fldCharType="begin"/>
      </w:r>
      <w:r w:rsidRPr="00616282">
        <w:rPr>
          <w:rFonts w:ascii="Calibri" w:hAnsi="Calibri" w:cs="Calibri"/>
          <w:b/>
          <w:bCs/>
          <w:color w:val="ED7D31" w:themeColor="accent2"/>
          <w:lang w:val="en-GB"/>
        </w:rPr>
        <w:instrText xml:space="preserve"> SEQ Table \* ARABIC </w:instrText>
      </w:r>
      <w:r w:rsidRPr="00616282">
        <w:rPr>
          <w:rFonts w:ascii="Calibri" w:hAnsi="Calibri" w:cs="Calibri"/>
          <w:b/>
          <w:bCs/>
          <w:color w:val="ED7D31" w:themeColor="accent2"/>
          <w:lang w:val="en-GB"/>
        </w:rPr>
        <w:fldChar w:fldCharType="separate"/>
      </w:r>
      <w:r w:rsidR="0096670A">
        <w:rPr>
          <w:rFonts w:ascii="Calibri" w:hAnsi="Calibri" w:cs="Calibri"/>
          <w:b/>
          <w:bCs/>
          <w:noProof/>
          <w:color w:val="ED7D31" w:themeColor="accent2"/>
          <w:lang w:val="en-GB"/>
        </w:rPr>
        <w:t>17</w:t>
      </w:r>
      <w:r w:rsidRPr="00616282">
        <w:rPr>
          <w:rFonts w:ascii="Calibri" w:hAnsi="Calibri" w:cs="Calibri"/>
          <w:b/>
          <w:bCs/>
          <w:color w:val="ED7D31" w:themeColor="accent2"/>
          <w:lang w:val="en-GB"/>
        </w:rPr>
        <w:fldChar w:fldCharType="end"/>
      </w:r>
      <w:r w:rsidRPr="00616282">
        <w:rPr>
          <w:rFonts w:ascii="Calibri" w:hAnsi="Calibri" w:cs="Calibri"/>
          <w:b/>
          <w:bCs/>
          <w:color w:val="ED7D31" w:themeColor="accent2"/>
          <w:lang w:val="en-GB"/>
        </w:rPr>
        <w:t>. Linking CBK, IFRS and BCBS expectations</w:t>
      </w:r>
      <w:r w:rsidR="0090701E">
        <w:rPr>
          <w:rFonts w:ascii="Calibri" w:hAnsi="Calibri" w:cs="Calibri"/>
          <w:b/>
          <w:bCs/>
          <w:color w:val="ED7D31" w:themeColor="accent2"/>
          <w:lang w:val="en-GB"/>
        </w:rPr>
        <w:t xml:space="preserve"> on metrics and targets</w:t>
      </w:r>
      <w:bookmarkEnd w:id="90"/>
    </w:p>
    <w:p w14:paraId="3DEC321F" w14:textId="77777777" w:rsidR="00C949E2" w:rsidRPr="00616282" w:rsidRDefault="00C949E2" w:rsidP="00C949E2">
      <w:pPr>
        <w:rPr>
          <w:rFonts w:ascii="Calibri" w:hAnsi="Calibri" w:cs="Calibri"/>
          <w:lang w:val="en-GB"/>
        </w:rPr>
      </w:pPr>
    </w:p>
    <w:tbl>
      <w:tblPr>
        <w:tblStyle w:val="TableGrid"/>
        <w:tblW w:w="9488" w:type="dxa"/>
        <w:tblBorders>
          <w:top w:val="single" w:sz="8" w:space="0" w:color="BFBFBF" w:themeColor="background1" w:themeShade="BF"/>
          <w:left w:val="single" w:sz="8" w:space="0" w:color="BFBFBF" w:themeColor="background1" w:themeShade="BF"/>
          <w:bottom w:val="single" w:sz="8" w:space="0" w:color="BFBFBF" w:themeColor="background1" w:themeShade="BF"/>
          <w:right w:val="single" w:sz="8" w:space="0" w:color="BFBFBF" w:themeColor="background1" w:themeShade="BF"/>
          <w:insideH w:val="single" w:sz="8" w:space="0" w:color="BFBFBF" w:themeColor="background1" w:themeShade="BF"/>
          <w:insideV w:val="single" w:sz="8" w:space="0" w:color="BFBFBF" w:themeColor="background1" w:themeShade="BF"/>
        </w:tblBorders>
        <w:tblLayout w:type="fixed"/>
        <w:tblLook w:val="04A0" w:firstRow="1" w:lastRow="0" w:firstColumn="1" w:lastColumn="0" w:noHBand="0" w:noVBand="1"/>
      </w:tblPr>
      <w:tblGrid>
        <w:gridCol w:w="2065"/>
        <w:gridCol w:w="1753"/>
        <w:gridCol w:w="2976"/>
        <w:gridCol w:w="2694"/>
      </w:tblGrid>
      <w:tr w:rsidR="004063E4" w:rsidRPr="004725EE" w14:paraId="6CD2F0D1" w14:textId="77777777" w:rsidTr="0008057D">
        <w:trPr>
          <w:tblHeader/>
        </w:trPr>
        <w:tc>
          <w:tcPr>
            <w:tcW w:w="2065" w:type="dxa"/>
            <w:shd w:val="clear" w:color="auto" w:fill="FBE4D5" w:themeFill="accent2" w:themeFillTint="33"/>
          </w:tcPr>
          <w:p w14:paraId="70A14177" w14:textId="77777777" w:rsidR="004063E4" w:rsidRPr="00616282" w:rsidRDefault="004063E4">
            <w:pPr>
              <w:jc w:val="center"/>
              <w:rPr>
                <w:rFonts w:ascii="Calibri" w:hAnsi="Calibri" w:cs="Calibri"/>
                <w:b/>
                <w:bCs/>
                <w:color w:val="4472C4" w:themeColor="accent1"/>
                <w:lang w:val="en-GB"/>
              </w:rPr>
            </w:pPr>
            <w:r w:rsidRPr="00616282">
              <w:rPr>
                <w:rFonts w:ascii="Calibri" w:hAnsi="Calibri" w:cs="Calibri"/>
                <w:b/>
                <w:bCs/>
                <w:color w:val="4472C4" w:themeColor="accent1"/>
                <w:lang w:val="en-GB"/>
              </w:rPr>
              <w:t>CBK</w:t>
            </w:r>
          </w:p>
        </w:tc>
        <w:tc>
          <w:tcPr>
            <w:tcW w:w="4729" w:type="dxa"/>
            <w:gridSpan w:val="2"/>
            <w:shd w:val="clear" w:color="auto" w:fill="D9D9D9" w:themeFill="background1" w:themeFillShade="D9"/>
          </w:tcPr>
          <w:p w14:paraId="75597547" w14:textId="77777777" w:rsidR="004063E4" w:rsidRPr="00616282" w:rsidRDefault="004063E4">
            <w:pPr>
              <w:jc w:val="center"/>
              <w:rPr>
                <w:rFonts w:ascii="Calibri" w:hAnsi="Calibri" w:cs="Calibri"/>
                <w:b/>
                <w:bCs/>
                <w:color w:val="4472C4" w:themeColor="accent1"/>
                <w:lang w:val="en-GB"/>
              </w:rPr>
            </w:pPr>
            <w:r w:rsidRPr="00616282">
              <w:rPr>
                <w:rFonts w:ascii="Calibri" w:hAnsi="Calibri" w:cs="Calibri"/>
                <w:b/>
                <w:bCs/>
                <w:color w:val="4472C4" w:themeColor="accent1"/>
                <w:lang w:val="en-GB"/>
              </w:rPr>
              <w:t>IFRS S2</w:t>
            </w:r>
          </w:p>
        </w:tc>
        <w:tc>
          <w:tcPr>
            <w:tcW w:w="2694" w:type="dxa"/>
            <w:shd w:val="clear" w:color="auto" w:fill="D9D9D9" w:themeFill="background1" w:themeFillShade="D9"/>
          </w:tcPr>
          <w:p w14:paraId="03F51929" w14:textId="77777777" w:rsidR="004063E4" w:rsidRPr="00616282" w:rsidRDefault="004063E4">
            <w:pPr>
              <w:jc w:val="center"/>
              <w:rPr>
                <w:rFonts w:ascii="Calibri" w:hAnsi="Calibri" w:cs="Calibri"/>
                <w:b/>
                <w:color w:val="4472C4" w:themeColor="accent1"/>
                <w:lang w:val="en-GB"/>
              </w:rPr>
            </w:pPr>
            <w:r w:rsidRPr="00616282">
              <w:rPr>
                <w:rFonts w:ascii="Calibri" w:hAnsi="Calibri" w:cs="Calibri"/>
                <w:b/>
                <w:color w:val="4472C4" w:themeColor="accent1"/>
                <w:lang w:val="en-GB"/>
              </w:rPr>
              <w:t>BCBS Principles</w:t>
            </w:r>
          </w:p>
        </w:tc>
      </w:tr>
      <w:tr w:rsidR="004063E4" w:rsidRPr="004725EE" w14:paraId="692BE98A" w14:textId="77777777" w:rsidTr="0008057D">
        <w:trPr>
          <w:tblHeader/>
        </w:trPr>
        <w:tc>
          <w:tcPr>
            <w:tcW w:w="2065" w:type="dxa"/>
            <w:shd w:val="clear" w:color="auto" w:fill="FBE4D5" w:themeFill="accent2" w:themeFillTint="33"/>
          </w:tcPr>
          <w:p w14:paraId="736D613B" w14:textId="77777777" w:rsidR="004063E4" w:rsidRPr="00616282" w:rsidRDefault="004063E4">
            <w:pPr>
              <w:jc w:val="center"/>
              <w:rPr>
                <w:rFonts w:ascii="Calibri" w:hAnsi="Calibri" w:cs="Calibri"/>
                <w:b/>
                <w:bCs/>
                <w:color w:val="4472C4" w:themeColor="accent1"/>
                <w:lang w:val="en-GB"/>
              </w:rPr>
            </w:pPr>
            <w:r w:rsidRPr="00616282">
              <w:rPr>
                <w:rFonts w:ascii="Calibri" w:hAnsi="Calibri" w:cs="Calibri"/>
                <w:b/>
                <w:bCs/>
                <w:color w:val="4472C4" w:themeColor="accent1"/>
                <w:lang w:val="en-GB"/>
              </w:rPr>
              <w:t>Risk Management</w:t>
            </w:r>
          </w:p>
        </w:tc>
        <w:tc>
          <w:tcPr>
            <w:tcW w:w="1753" w:type="dxa"/>
            <w:shd w:val="clear" w:color="auto" w:fill="D9D9D9" w:themeFill="background1" w:themeFillShade="D9"/>
          </w:tcPr>
          <w:p w14:paraId="4638166F" w14:textId="77777777" w:rsidR="004063E4" w:rsidRPr="00616282" w:rsidRDefault="004063E4">
            <w:pPr>
              <w:jc w:val="center"/>
              <w:rPr>
                <w:rFonts w:ascii="Calibri" w:hAnsi="Calibri" w:cs="Calibri"/>
                <w:b/>
                <w:bCs/>
                <w:color w:val="4472C4" w:themeColor="accent1"/>
                <w:lang w:val="en-GB"/>
              </w:rPr>
            </w:pPr>
            <w:r w:rsidRPr="00616282">
              <w:rPr>
                <w:rFonts w:ascii="Calibri" w:hAnsi="Calibri" w:cs="Calibri"/>
                <w:b/>
                <w:bCs/>
                <w:color w:val="4472C4" w:themeColor="accent1"/>
                <w:lang w:val="en-GB"/>
              </w:rPr>
              <w:t>Topic</w:t>
            </w:r>
          </w:p>
        </w:tc>
        <w:tc>
          <w:tcPr>
            <w:tcW w:w="2976" w:type="dxa"/>
            <w:shd w:val="clear" w:color="auto" w:fill="D9D9D9" w:themeFill="background1" w:themeFillShade="D9"/>
          </w:tcPr>
          <w:p w14:paraId="70C17FDB" w14:textId="77777777" w:rsidR="004063E4" w:rsidRPr="00616282" w:rsidRDefault="004063E4">
            <w:pPr>
              <w:jc w:val="center"/>
              <w:rPr>
                <w:rFonts w:ascii="Calibri" w:hAnsi="Calibri" w:cs="Calibri"/>
                <w:b/>
                <w:bCs/>
                <w:color w:val="4472C4" w:themeColor="accent1"/>
                <w:lang w:val="en-GB"/>
              </w:rPr>
            </w:pPr>
            <w:r w:rsidRPr="00616282">
              <w:rPr>
                <w:rFonts w:ascii="Calibri" w:hAnsi="Calibri" w:cs="Calibri"/>
                <w:b/>
                <w:bCs/>
                <w:color w:val="4472C4" w:themeColor="accent1"/>
                <w:lang w:val="en-GB"/>
              </w:rPr>
              <w:t>Description</w:t>
            </w:r>
          </w:p>
        </w:tc>
        <w:tc>
          <w:tcPr>
            <w:tcW w:w="2694" w:type="dxa"/>
            <w:shd w:val="clear" w:color="auto" w:fill="D9D9D9" w:themeFill="background1" w:themeFillShade="D9"/>
          </w:tcPr>
          <w:p w14:paraId="4A52E51A" w14:textId="77777777" w:rsidR="004063E4" w:rsidRPr="00616282" w:rsidRDefault="004063E4">
            <w:pPr>
              <w:jc w:val="center"/>
              <w:rPr>
                <w:rFonts w:ascii="Calibri" w:hAnsi="Calibri" w:cs="Calibri"/>
                <w:color w:val="4472C4" w:themeColor="accent1"/>
                <w:lang w:val="en-GB"/>
              </w:rPr>
            </w:pPr>
          </w:p>
        </w:tc>
      </w:tr>
      <w:tr w:rsidR="008D3454" w:rsidRPr="004725EE" w14:paraId="038FD6A9" w14:textId="77777777" w:rsidTr="0008057D">
        <w:tc>
          <w:tcPr>
            <w:tcW w:w="2065" w:type="dxa"/>
            <w:vMerge w:val="restart"/>
            <w:shd w:val="clear" w:color="auto" w:fill="FBE4D5" w:themeFill="accent2" w:themeFillTint="33"/>
          </w:tcPr>
          <w:p w14:paraId="5CB0D92A" w14:textId="77777777" w:rsidR="008D3454" w:rsidRPr="00616282" w:rsidRDefault="008D3454" w:rsidP="00796B7E">
            <w:pPr>
              <w:rPr>
                <w:rFonts w:ascii="Calibri" w:hAnsi="Calibri" w:cs="Calibri"/>
                <w:b/>
                <w:bCs/>
                <w:color w:val="4472C4" w:themeColor="accent1"/>
                <w:lang w:val="en-GB"/>
              </w:rPr>
            </w:pPr>
          </w:p>
          <w:p w14:paraId="579D9B98" w14:textId="77777777" w:rsidR="008D3454" w:rsidRPr="00616282" w:rsidRDefault="008D3454" w:rsidP="00796B7E">
            <w:pPr>
              <w:rPr>
                <w:rFonts w:ascii="Calibri" w:hAnsi="Calibri" w:cs="Calibri"/>
                <w:b/>
                <w:bCs/>
                <w:color w:val="4472C4" w:themeColor="accent1"/>
                <w:lang w:val="en-GB"/>
              </w:rPr>
            </w:pPr>
          </w:p>
          <w:p w14:paraId="66297F01" w14:textId="04BCBCA4" w:rsidR="008D3454" w:rsidRPr="00616282" w:rsidRDefault="008D3454" w:rsidP="00796B7E">
            <w:pPr>
              <w:rPr>
                <w:rFonts w:ascii="Calibri" w:hAnsi="Calibri" w:cs="Calibri"/>
                <w:b/>
                <w:bCs/>
                <w:color w:val="4472C4" w:themeColor="accent1"/>
                <w:lang w:val="en-GB"/>
              </w:rPr>
            </w:pPr>
            <w:r w:rsidRPr="00616282">
              <w:rPr>
                <w:rFonts w:ascii="Calibri" w:hAnsi="Calibri" w:cs="Calibri"/>
                <w:b/>
                <w:bCs/>
                <w:color w:val="4472C4" w:themeColor="accent1"/>
                <w:lang w:val="en-GB"/>
              </w:rPr>
              <w:t>3.4.5 Disclosure of climate-related information</w:t>
            </w:r>
          </w:p>
        </w:tc>
        <w:tc>
          <w:tcPr>
            <w:tcW w:w="1753" w:type="dxa"/>
          </w:tcPr>
          <w:p w14:paraId="60FA4179" w14:textId="6B560880" w:rsidR="008D3454" w:rsidRPr="00616282" w:rsidRDefault="008D3454" w:rsidP="00796B7E">
            <w:pPr>
              <w:rPr>
                <w:rFonts w:ascii="Calibri" w:hAnsi="Calibri" w:cs="Calibri"/>
                <w:color w:val="4472C4" w:themeColor="accent1"/>
                <w:lang w:val="en-GB"/>
              </w:rPr>
            </w:pPr>
            <w:r w:rsidRPr="00616282">
              <w:rPr>
                <w:rFonts w:ascii="Calibri" w:hAnsi="Calibri" w:cs="Calibri"/>
                <w:b/>
                <w:bCs/>
                <w:color w:val="4472C4" w:themeColor="accent1"/>
                <w:lang w:val="en-GB"/>
              </w:rPr>
              <w:t>Climate-related metrics</w:t>
            </w:r>
          </w:p>
        </w:tc>
        <w:tc>
          <w:tcPr>
            <w:tcW w:w="2976" w:type="dxa"/>
          </w:tcPr>
          <w:p w14:paraId="5E910817" w14:textId="23115E1C" w:rsidR="008D3454" w:rsidRPr="00616282" w:rsidRDefault="003B2AB0" w:rsidP="00CB4FD6">
            <w:pPr>
              <w:rPr>
                <w:rFonts w:ascii="Calibri" w:hAnsi="Calibri" w:cs="Calibri"/>
                <w:lang w:val="en-GB"/>
              </w:rPr>
            </w:pPr>
            <w:r w:rsidRPr="00616282">
              <w:rPr>
                <w:rFonts w:ascii="Calibri" w:hAnsi="Calibri" w:cs="Calibri"/>
                <w:lang w:val="en-GB"/>
              </w:rPr>
              <w:t>I</w:t>
            </w:r>
            <w:r w:rsidR="008D3454" w:rsidRPr="00616282">
              <w:rPr>
                <w:rFonts w:ascii="Calibri" w:hAnsi="Calibri" w:cs="Calibri"/>
                <w:lang w:val="en-GB"/>
              </w:rPr>
              <w:t>nformation relevant to the cross-industry metric categories including greenhouse gases emissions (Scope 1, 2 and 3), asset share or business activities vulnerable to transition and physical risks, and alignment with climate-related opportunities, capital deployment towards climate risk and opportunities, carbon pricing, and remuneration schemes, linked to climate performance.</w:t>
            </w:r>
          </w:p>
          <w:p w14:paraId="4EDB1D9C" w14:textId="77777777" w:rsidR="008D3454" w:rsidRPr="00616282" w:rsidRDefault="008D3454" w:rsidP="00CB4FD6">
            <w:pPr>
              <w:rPr>
                <w:rFonts w:ascii="Calibri" w:hAnsi="Calibri" w:cs="Calibri"/>
                <w:lang w:val="en-GB"/>
              </w:rPr>
            </w:pPr>
          </w:p>
        </w:tc>
        <w:tc>
          <w:tcPr>
            <w:tcW w:w="2694" w:type="dxa"/>
            <w:vMerge w:val="restart"/>
          </w:tcPr>
          <w:p w14:paraId="6B9AD879" w14:textId="77777777" w:rsidR="008D3454" w:rsidRPr="00616282" w:rsidRDefault="002E4748" w:rsidP="00CB4FD6">
            <w:pPr>
              <w:rPr>
                <w:rFonts w:ascii="Calibri" w:hAnsi="Calibri" w:cs="Calibri"/>
                <w:lang w:val="en-GB"/>
              </w:rPr>
            </w:pPr>
            <w:r w:rsidRPr="00616282">
              <w:rPr>
                <w:rFonts w:ascii="Calibri" w:hAnsi="Calibri" w:cs="Calibri"/>
                <w:b/>
                <w:bCs/>
                <w:lang w:val="en-GB"/>
              </w:rPr>
              <w:t>Principle 7:</w:t>
            </w:r>
            <w:r w:rsidRPr="00616282">
              <w:rPr>
                <w:rFonts w:ascii="Calibri" w:hAnsi="Calibri" w:cs="Calibri"/>
                <w:lang w:val="en-GB"/>
              </w:rPr>
              <w:t xml:space="preserve"> Risk data aggregation capabilities and internal risk reporting practices should account for climate-related financial risks. Banks should seek to ensure that their internal reporting systems are capable of monitoring material climate-related financial risks and producing timely information to ensure effective board and senior management decision-making.</w:t>
            </w:r>
          </w:p>
          <w:p w14:paraId="42476B7E" w14:textId="77777777" w:rsidR="004177A5" w:rsidRPr="00616282" w:rsidRDefault="004177A5" w:rsidP="00CB4FD6">
            <w:pPr>
              <w:rPr>
                <w:rFonts w:ascii="Calibri" w:hAnsi="Calibri" w:cs="Calibri"/>
                <w:lang w:val="en-GB"/>
              </w:rPr>
            </w:pPr>
          </w:p>
          <w:p w14:paraId="48B5DA98" w14:textId="26B06DBA" w:rsidR="004177A5" w:rsidRPr="00616282" w:rsidRDefault="004177A5" w:rsidP="00CB4FD6">
            <w:pPr>
              <w:autoSpaceDE w:val="0"/>
              <w:autoSpaceDN w:val="0"/>
              <w:adjustRightInd w:val="0"/>
              <w:rPr>
                <w:rFonts w:ascii="Calibri" w:hAnsi="Calibri" w:cs="Calibri"/>
                <w:lang w:val="en-GB"/>
              </w:rPr>
            </w:pPr>
            <w:r w:rsidRPr="00616282">
              <w:rPr>
                <w:rFonts w:ascii="Calibri" w:hAnsi="Calibri" w:cs="Calibri"/>
                <w:lang w:val="en-GB"/>
              </w:rPr>
              <w:t>34. Banks should develop qualitative and/or quantitative metrics or indicators to assess, monitor, and report climate-related financial risks. Limitations that prevent full climate risk data assessment should be made explicit to stakeholders where relevant.</w:t>
            </w:r>
          </w:p>
        </w:tc>
      </w:tr>
      <w:tr w:rsidR="008D3454" w:rsidRPr="004725EE" w14:paraId="1EDFE967" w14:textId="77777777" w:rsidTr="0008057D">
        <w:tc>
          <w:tcPr>
            <w:tcW w:w="2065" w:type="dxa"/>
            <w:vMerge/>
            <w:shd w:val="clear" w:color="auto" w:fill="FBE4D5" w:themeFill="accent2" w:themeFillTint="33"/>
          </w:tcPr>
          <w:p w14:paraId="402AB1EA" w14:textId="77777777" w:rsidR="008D3454" w:rsidRPr="00616282" w:rsidRDefault="008D3454" w:rsidP="008D3454">
            <w:pPr>
              <w:rPr>
                <w:rFonts w:ascii="Calibri" w:hAnsi="Calibri" w:cs="Calibri"/>
                <w:b/>
                <w:bCs/>
                <w:color w:val="003299"/>
                <w:lang w:val="en-GB"/>
              </w:rPr>
            </w:pPr>
          </w:p>
        </w:tc>
        <w:tc>
          <w:tcPr>
            <w:tcW w:w="1753" w:type="dxa"/>
          </w:tcPr>
          <w:p w14:paraId="40F83167" w14:textId="7CF04247" w:rsidR="008D3454" w:rsidRPr="00616282" w:rsidRDefault="008D3454" w:rsidP="008D3454">
            <w:pPr>
              <w:autoSpaceDE w:val="0"/>
              <w:autoSpaceDN w:val="0"/>
              <w:adjustRightInd w:val="0"/>
              <w:rPr>
                <w:rFonts w:ascii="Calibri" w:hAnsi="Calibri" w:cs="Calibri"/>
                <w:color w:val="4472C4" w:themeColor="accent1"/>
                <w:lang w:val="en-GB"/>
              </w:rPr>
            </w:pPr>
            <w:r w:rsidRPr="00616282">
              <w:rPr>
                <w:rFonts w:ascii="Calibri" w:hAnsi="Calibri" w:cs="Calibri"/>
                <w:b/>
                <w:bCs/>
                <w:color w:val="4472C4" w:themeColor="accent1"/>
                <w:lang w:val="en-GB"/>
              </w:rPr>
              <w:t>Climate-related targets</w:t>
            </w:r>
          </w:p>
        </w:tc>
        <w:tc>
          <w:tcPr>
            <w:tcW w:w="2976" w:type="dxa"/>
          </w:tcPr>
          <w:p w14:paraId="282B9B86" w14:textId="77777777" w:rsidR="008D3454" w:rsidRPr="00616282" w:rsidRDefault="008D3454" w:rsidP="00CB4FD6">
            <w:pPr>
              <w:rPr>
                <w:rFonts w:ascii="Calibri" w:hAnsi="Calibri" w:cs="Calibri"/>
                <w:lang w:val="en-GB"/>
              </w:rPr>
            </w:pPr>
            <w:r w:rsidRPr="00616282">
              <w:rPr>
                <w:rFonts w:ascii="Calibri" w:hAnsi="Calibri" w:cs="Calibri"/>
                <w:lang w:val="en-GB"/>
              </w:rPr>
              <w:t>Disclose the quantitative and qualitative climate mitigation, and adaptation targets set by the bank, together with its geographical and sector coverage monitoring arrangements, linkages to regulation, and application period.</w:t>
            </w:r>
          </w:p>
          <w:p w14:paraId="0C8C1CA1" w14:textId="09F83921" w:rsidR="008D3454" w:rsidRPr="00616282" w:rsidRDefault="008D3454" w:rsidP="008D3454">
            <w:pPr>
              <w:rPr>
                <w:rFonts w:ascii="Calibri" w:hAnsi="Calibri" w:cs="Calibri"/>
                <w:lang w:val="en-GB"/>
              </w:rPr>
            </w:pPr>
          </w:p>
        </w:tc>
        <w:tc>
          <w:tcPr>
            <w:tcW w:w="2694" w:type="dxa"/>
            <w:vMerge/>
          </w:tcPr>
          <w:p w14:paraId="763308A7" w14:textId="77777777" w:rsidR="008D3454" w:rsidRPr="00616282" w:rsidRDefault="008D3454" w:rsidP="008D3454">
            <w:pPr>
              <w:pStyle w:val="NormalWeb"/>
              <w:rPr>
                <w:rFonts w:ascii="Calibri" w:hAnsi="Calibri" w:cs="Calibri"/>
                <w:lang w:val="en-GB"/>
              </w:rPr>
            </w:pPr>
          </w:p>
        </w:tc>
      </w:tr>
    </w:tbl>
    <w:p w14:paraId="45D10143" w14:textId="77777777" w:rsidR="004063E4" w:rsidRPr="00616282" w:rsidRDefault="004063E4" w:rsidP="00C949E2">
      <w:pPr>
        <w:rPr>
          <w:rFonts w:ascii="Calibri" w:hAnsi="Calibri" w:cs="Calibri"/>
        </w:rPr>
      </w:pPr>
    </w:p>
    <w:p w14:paraId="7938DEC1" w14:textId="6720222E" w:rsidR="001015AB" w:rsidRPr="00616282" w:rsidRDefault="008244BE" w:rsidP="00B97958">
      <w:pPr>
        <w:pStyle w:val="Heading2"/>
        <w:rPr>
          <w:rFonts w:ascii="Calibri" w:hAnsi="Calibri" w:cs="Calibri"/>
          <w:sz w:val="24"/>
          <w:szCs w:val="24"/>
        </w:rPr>
      </w:pPr>
      <w:bookmarkStart w:id="91" w:name="_Toc167079307"/>
      <w:bookmarkStart w:id="92" w:name="_Toc171908190"/>
      <w:r w:rsidRPr="00616282">
        <w:rPr>
          <w:rFonts w:ascii="Calibri" w:hAnsi="Calibri" w:cs="Calibri"/>
          <w:sz w:val="24"/>
          <w:szCs w:val="24"/>
        </w:rPr>
        <w:t xml:space="preserve">Best practice </w:t>
      </w:r>
      <w:r w:rsidR="00E87C8D" w:rsidRPr="00616282">
        <w:rPr>
          <w:rFonts w:ascii="Calibri" w:hAnsi="Calibri" w:cs="Calibri"/>
          <w:sz w:val="24"/>
          <w:szCs w:val="24"/>
        </w:rPr>
        <w:t>on metrics and targets</w:t>
      </w:r>
      <w:bookmarkEnd w:id="91"/>
      <w:bookmarkEnd w:id="92"/>
    </w:p>
    <w:p w14:paraId="286DF7E8" w14:textId="77777777" w:rsidR="001015AB" w:rsidRPr="00616282" w:rsidRDefault="001015AB" w:rsidP="00FB0DA0">
      <w:pPr>
        <w:outlineLvl w:val="0"/>
        <w:rPr>
          <w:rFonts w:ascii="Calibri" w:hAnsi="Calibri" w:cs="Calibri"/>
          <w:b/>
          <w:lang w:val="en-GB"/>
        </w:rPr>
      </w:pPr>
    </w:p>
    <w:p w14:paraId="02C46FFD" w14:textId="78DDCDD8" w:rsidR="00EE2352" w:rsidRPr="00616282" w:rsidRDefault="00EE2352" w:rsidP="003A5F3D">
      <w:pPr>
        <w:pStyle w:val="Heading3"/>
        <w:rPr>
          <w:rFonts w:ascii="Calibri" w:hAnsi="Calibri" w:cs="Calibri"/>
          <w:sz w:val="24"/>
          <w:lang w:val="en-GB"/>
        </w:rPr>
      </w:pPr>
      <w:bookmarkStart w:id="93" w:name="_Toc171908191"/>
      <w:r w:rsidRPr="00616282">
        <w:rPr>
          <w:rFonts w:ascii="Calibri" w:hAnsi="Calibri" w:cs="Calibri"/>
          <w:sz w:val="24"/>
          <w:lang w:val="en-GB"/>
        </w:rPr>
        <w:t>Climate-related metrics</w:t>
      </w:r>
      <w:bookmarkEnd w:id="93"/>
    </w:p>
    <w:p w14:paraId="3104388F" w14:textId="77777777" w:rsidR="003D37B1" w:rsidRPr="00616282" w:rsidRDefault="003D37B1" w:rsidP="003D37B1">
      <w:pPr>
        <w:rPr>
          <w:rFonts w:ascii="Calibri" w:hAnsi="Calibri" w:cs="Calibri"/>
          <w:lang w:val="en-GB"/>
        </w:rPr>
      </w:pPr>
    </w:p>
    <w:p w14:paraId="118B60CA" w14:textId="1D7F1ED0" w:rsidR="00B2310D" w:rsidRPr="00616282" w:rsidRDefault="00C340FF" w:rsidP="00B2310D">
      <w:pPr>
        <w:jc w:val="both"/>
        <w:rPr>
          <w:rFonts w:ascii="Calibri" w:hAnsi="Calibri" w:cs="Calibri"/>
          <w:lang w:val="en-GB"/>
        </w:rPr>
      </w:pPr>
      <w:r w:rsidRPr="00616282">
        <w:rPr>
          <w:rFonts w:ascii="Calibri" w:hAnsi="Calibri" w:cs="Calibri"/>
          <w:lang w:val="en-GB"/>
        </w:rPr>
        <w:t xml:space="preserve">Organizations often utilize the methodology crafted by the Partnership for Carbon Accounting Financials (PCAF) to </w:t>
      </w:r>
      <w:r w:rsidR="00931DC3" w:rsidRPr="00616282">
        <w:rPr>
          <w:rFonts w:ascii="Calibri" w:hAnsi="Calibri" w:cs="Calibri"/>
          <w:lang w:val="en-GB"/>
        </w:rPr>
        <w:t xml:space="preserve">measure </w:t>
      </w:r>
      <w:r w:rsidRPr="00616282">
        <w:rPr>
          <w:rFonts w:ascii="Calibri" w:hAnsi="Calibri" w:cs="Calibri"/>
          <w:lang w:val="en-GB"/>
        </w:rPr>
        <w:t xml:space="preserve">financed </w:t>
      </w:r>
      <w:r w:rsidR="009C5AC0" w:rsidRPr="00616282">
        <w:rPr>
          <w:rFonts w:ascii="Calibri" w:hAnsi="Calibri" w:cs="Calibri"/>
          <w:lang w:val="en-GB"/>
        </w:rPr>
        <w:t>emissions</w:t>
      </w:r>
      <w:r w:rsidR="000B6B7A" w:rsidRPr="00616282">
        <w:rPr>
          <w:rFonts w:ascii="Calibri" w:hAnsi="Calibri" w:cs="Calibri"/>
          <w:lang w:val="en-GB"/>
        </w:rPr>
        <w:t xml:space="preserve"> baseline and derive targets across the entire portfolio and for specific sectors. </w:t>
      </w:r>
      <w:r w:rsidR="00B2310D" w:rsidRPr="00616282">
        <w:rPr>
          <w:rFonts w:ascii="Calibri" w:hAnsi="Calibri" w:cs="Calibri"/>
          <w:lang w:val="en-GB"/>
        </w:rPr>
        <w:t xml:space="preserve">The following is an illustration on how </w:t>
      </w:r>
      <w:r w:rsidR="00D955E1" w:rsidRPr="00616282">
        <w:rPr>
          <w:rFonts w:ascii="Calibri" w:hAnsi="Calibri" w:cs="Calibri"/>
          <w:lang w:val="en-GB"/>
        </w:rPr>
        <w:t>NatWest</w:t>
      </w:r>
      <w:r w:rsidR="0068601A" w:rsidRPr="00616282">
        <w:rPr>
          <w:rFonts w:ascii="Calibri" w:hAnsi="Calibri" w:cs="Calibri"/>
          <w:lang w:val="en-GB"/>
        </w:rPr>
        <w:t xml:space="preserve"> Group with a </w:t>
      </w:r>
      <w:r w:rsidR="00EB7763" w:rsidRPr="00616282">
        <w:rPr>
          <w:rFonts w:ascii="Calibri" w:hAnsi="Calibri" w:cs="Calibri"/>
          <w:lang w:val="en-GB"/>
        </w:rPr>
        <w:t xml:space="preserve">sample </w:t>
      </w:r>
      <w:r w:rsidR="0068601A" w:rsidRPr="00616282">
        <w:rPr>
          <w:rFonts w:ascii="Calibri" w:hAnsi="Calibri" w:cs="Calibri"/>
          <w:lang w:val="en-GB"/>
        </w:rPr>
        <w:t xml:space="preserve">summary on the estimates of financed emissions in their portfolio. </w:t>
      </w:r>
      <w:r w:rsidR="00A35D4B" w:rsidRPr="00616282">
        <w:rPr>
          <w:rFonts w:ascii="Calibri" w:hAnsi="Calibri" w:cs="Calibri"/>
          <w:lang w:val="en-GB"/>
        </w:rPr>
        <w:t xml:space="preserve">As it can be seen, Scope 1 and 2 </w:t>
      </w:r>
      <w:r w:rsidR="00B7558A" w:rsidRPr="00B7558A">
        <w:rPr>
          <w:rFonts w:ascii="Calibri" w:hAnsi="Calibri" w:cs="Calibri"/>
          <w:lang w:val="en-GB"/>
        </w:rPr>
        <w:t xml:space="preserve">Greenhouse Gas </w:t>
      </w:r>
      <w:r w:rsidR="00B7558A">
        <w:rPr>
          <w:rFonts w:ascii="Calibri" w:hAnsi="Calibri" w:cs="Calibri"/>
          <w:lang w:val="en-GB"/>
        </w:rPr>
        <w:t>(</w:t>
      </w:r>
      <w:r w:rsidR="00A35D4B" w:rsidRPr="00616282">
        <w:rPr>
          <w:rFonts w:ascii="Calibri" w:hAnsi="Calibri" w:cs="Calibri"/>
          <w:lang w:val="en-GB"/>
        </w:rPr>
        <w:t>GHG</w:t>
      </w:r>
      <w:r w:rsidR="00B7558A">
        <w:rPr>
          <w:rFonts w:ascii="Calibri" w:hAnsi="Calibri" w:cs="Calibri"/>
          <w:lang w:val="en-GB"/>
        </w:rPr>
        <w:t>)</w:t>
      </w:r>
      <w:r w:rsidR="00A35D4B" w:rsidRPr="00616282">
        <w:rPr>
          <w:rFonts w:ascii="Calibri" w:hAnsi="Calibri" w:cs="Calibri"/>
          <w:lang w:val="en-GB"/>
        </w:rPr>
        <w:t xml:space="preserve"> Emissions are </w:t>
      </w:r>
      <w:r w:rsidR="00EB7763" w:rsidRPr="00616282">
        <w:rPr>
          <w:rFonts w:ascii="Calibri" w:hAnsi="Calibri" w:cs="Calibri"/>
          <w:lang w:val="en-GB"/>
        </w:rPr>
        <w:t>calculated for most sectors</w:t>
      </w:r>
      <w:r w:rsidR="00796B7E">
        <w:rPr>
          <w:rFonts w:ascii="Calibri" w:hAnsi="Calibri" w:cs="Calibri"/>
          <w:lang w:val="en-GB"/>
        </w:rPr>
        <w:t>;</w:t>
      </w:r>
      <w:r w:rsidR="00EB7763" w:rsidRPr="00616282">
        <w:rPr>
          <w:rFonts w:ascii="Calibri" w:hAnsi="Calibri" w:cs="Calibri"/>
          <w:lang w:val="en-GB"/>
        </w:rPr>
        <w:t xml:space="preserve"> however, the bank is still making strides to </w:t>
      </w:r>
      <w:r w:rsidR="00CF1B17" w:rsidRPr="00616282">
        <w:rPr>
          <w:rFonts w:ascii="Calibri" w:hAnsi="Calibri" w:cs="Calibri"/>
          <w:lang w:val="en-GB"/>
        </w:rPr>
        <w:t>estimate Scope 3 GHG Emissions</w:t>
      </w:r>
      <w:r w:rsidR="009C4B32" w:rsidRPr="00616282">
        <w:rPr>
          <w:rFonts w:ascii="Calibri" w:hAnsi="Calibri" w:cs="Calibri"/>
          <w:lang w:val="en-GB"/>
        </w:rPr>
        <w:t xml:space="preserve">. </w:t>
      </w:r>
    </w:p>
    <w:p w14:paraId="464DB9FF" w14:textId="77777777" w:rsidR="00CF1B17" w:rsidRPr="00616282" w:rsidRDefault="00CF1B17" w:rsidP="00B2310D">
      <w:pPr>
        <w:jc w:val="both"/>
        <w:rPr>
          <w:rFonts w:ascii="Calibri" w:hAnsi="Calibri" w:cs="Calibri"/>
          <w:lang w:val="en-GB"/>
        </w:rPr>
      </w:pPr>
    </w:p>
    <w:p w14:paraId="2F1F8E8B" w14:textId="41D2195D" w:rsidR="00CF1B17" w:rsidRPr="00616282" w:rsidRDefault="00CF1B17" w:rsidP="00616282">
      <w:pPr>
        <w:rPr>
          <w:rFonts w:ascii="Calibri" w:hAnsi="Calibri" w:cs="Calibri"/>
          <w:b/>
          <w:bCs/>
          <w:color w:val="ED7D31" w:themeColor="accent2"/>
          <w:lang w:val="en-GB"/>
        </w:rPr>
      </w:pPr>
      <w:bookmarkStart w:id="94" w:name="_Toc175223829"/>
      <w:r w:rsidRPr="00616282">
        <w:rPr>
          <w:rFonts w:ascii="Calibri" w:hAnsi="Calibri" w:cs="Calibri"/>
          <w:b/>
          <w:bCs/>
          <w:color w:val="ED7D31" w:themeColor="accent2"/>
          <w:lang w:val="en-GB"/>
        </w:rPr>
        <w:t xml:space="preserve">Figure </w:t>
      </w:r>
      <w:r w:rsidR="00446278" w:rsidRPr="00616282">
        <w:rPr>
          <w:rFonts w:ascii="Calibri" w:hAnsi="Calibri" w:cs="Calibri"/>
          <w:b/>
          <w:bCs/>
          <w:color w:val="ED7D31" w:themeColor="accent2"/>
          <w:lang w:val="en-GB"/>
        </w:rPr>
        <w:fldChar w:fldCharType="begin"/>
      </w:r>
      <w:r w:rsidR="00446278" w:rsidRPr="00616282">
        <w:rPr>
          <w:rFonts w:ascii="Calibri" w:hAnsi="Calibri" w:cs="Calibri"/>
          <w:b/>
          <w:bCs/>
          <w:color w:val="ED7D31" w:themeColor="accent2"/>
          <w:lang w:val="en-GB"/>
        </w:rPr>
        <w:instrText xml:space="preserve"> SEQ Figure \* ARABIC </w:instrText>
      </w:r>
      <w:r w:rsidR="00446278" w:rsidRPr="00616282">
        <w:rPr>
          <w:rFonts w:ascii="Calibri" w:hAnsi="Calibri" w:cs="Calibri"/>
          <w:b/>
          <w:bCs/>
          <w:color w:val="ED7D31" w:themeColor="accent2"/>
          <w:lang w:val="en-GB"/>
        </w:rPr>
        <w:fldChar w:fldCharType="separate"/>
      </w:r>
      <w:r w:rsidR="0096670A">
        <w:rPr>
          <w:rFonts w:ascii="Calibri" w:hAnsi="Calibri" w:cs="Calibri"/>
          <w:b/>
          <w:bCs/>
          <w:noProof/>
          <w:color w:val="ED7D31" w:themeColor="accent2"/>
          <w:lang w:val="en-GB"/>
        </w:rPr>
        <w:t>14</w:t>
      </w:r>
      <w:r w:rsidR="00446278" w:rsidRPr="00616282">
        <w:rPr>
          <w:rFonts w:ascii="Calibri" w:hAnsi="Calibri" w:cs="Calibri"/>
          <w:b/>
          <w:bCs/>
          <w:color w:val="ED7D31" w:themeColor="accent2"/>
          <w:lang w:val="en-GB"/>
        </w:rPr>
        <w:fldChar w:fldCharType="end"/>
      </w:r>
      <w:r w:rsidRPr="00616282">
        <w:rPr>
          <w:rFonts w:ascii="Calibri" w:hAnsi="Calibri" w:cs="Calibri"/>
          <w:b/>
          <w:bCs/>
          <w:color w:val="ED7D31" w:themeColor="accent2"/>
          <w:lang w:val="en-GB"/>
        </w:rPr>
        <w:t xml:space="preserve">. NatWest </w:t>
      </w:r>
      <w:r w:rsidR="00F06740" w:rsidRPr="00616282">
        <w:rPr>
          <w:rFonts w:ascii="Calibri" w:hAnsi="Calibri" w:cs="Calibri"/>
          <w:b/>
          <w:bCs/>
          <w:color w:val="ED7D31" w:themeColor="accent2"/>
          <w:lang w:val="en-GB"/>
        </w:rPr>
        <w:t>Sample of Financed Emissions and Carbon Intensity</w:t>
      </w:r>
      <w:bookmarkEnd w:id="94"/>
      <w:r w:rsidR="00F06740" w:rsidRPr="00616282">
        <w:rPr>
          <w:rFonts w:ascii="Calibri" w:hAnsi="Calibri" w:cs="Calibri"/>
          <w:b/>
          <w:bCs/>
          <w:color w:val="ED7D31" w:themeColor="accent2"/>
          <w:lang w:val="en-GB"/>
        </w:rPr>
        <w:t xml:space="preserve"> </w:t>
      </w:r>
    </w:p>
    <w:p w14:paraId="53E3403A" w14:textId="77777777" w:rsidR="00C340FF" w:rsidRPr="00616282" w:rsidRDefault="00C340FF" w:rsidP="00C340FF">
      <w:pPr>
        <w:pStyle w:val="ListParagraph"/>
        <w:rPr>
          <w:rFonts w:ascii="Calibri" w:hAnsi="Calibri" w:cs="Calibri"/>
        </w:rPr>
      </w:pPr>
    </w:p>
    <w:p w14:paraId="541EEFB6" w14:textId="748F2DB9" w:rsidR="00E6202D" w:rsidRPr="00616282" w:rsidRDefault="00B2310D" w:rsidP="00F06740">
      <w:pPr>
        <w:pStyle w:val="ListParagraph"/>
        <w:jc w:val="center"/>
        <w:rPr>
          <w:rFonts w:ascii="Calibri" w:hAnsi="Calibri" w:cs="Calibri"/>
          <w:lang w:val="en-GB"/>
        </w:rPr>
      </w:pPr>
      <w:r w:rsidRPr="00616282">
        <w:rPr>
          <w:rFonts w:ascii="Calibri" w:hAnsi="Calibri" w:cs="Calibri"/>
          <w:noProof/>
          <w:lang w:val="en-GB"/>
          <w14:ligatures w14:val="standardContextual"/>
        </w:rPr>
        <w:drawing>
          <wp:inline distT="0" distB="0" distL="0" distR="0" wp14:anchorId="33D9FD21" wp14:editId="64A4922A">
            <wp:extent cx="4581610" cy="2131200"/>
            <wp:effectExtent l="0" t="0" r="3175" b="2540"/>
            <wp:docPr id="1492460233"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2460233" name="Picture 1492460233"/>
                    <pic:cNvPicPr/>
                  </pic:nvPicPr>
                  <pic:blipFill rotWithShape="1">
                    <a:blip r:embed="rId41" cstate="print">
                      <a:extLst>
                        <a:ext uri="{28A0092B-C50C-407E-A947-70E740481C1C}">
                          <a14:useLocalDpi xmlns:a14="http://schemas.microsoft.com/office/drawing/2010/main" val="0"/>
                        </a:ext>
                      </a:extLst>
                    </a:blip>
                    <a:srcRect t="1557"/>
                    <a:stretch/>
                  </pic:blipFill>
                  <pic:spPr bwMode="auto">
                    <a:xfrm>
                      <a:off x="0" y="0"/>
                      <a:ext cx="4581610" cy="2131200"/>
                    </a:xfrm>
                    <a:prstGeom prst="rect">
                      <a:avLst/>
                    </a:prstGeom>
                    <a:ln>
                      <a:noFill/>
                    </a:ln>
                    <a:extLst>
                      <a:ext uri="{53640926-AAD7-44D8-BBD7-CCE9431645EC}">
                        <a14:shadowObscured xmlns:a14="http://schemas.microsoft.com/office/drawing/2010/main"/>
                      </a:ext>
                    </a:extLst>
                  </pic:spPr>
                </pic:pic>
              </a:graphicData>
            </a:graphic>
          </wp:inline>
        </w:drawing>
      </w:r>
    </w:p>
    <w:p w14:paraId="3D3EF9AB" w14:textId="77777777" w:rsidR="00D955E1" w:rsidRPr="00616282" w:rsidRDefault="00664183" w:rsidP="00D62840">
      <w:pPr>
        <w:jc w:val="center"/>
        <w:rPr>
          <w:rFonts w:ascii="Calibri" w:hAnsi="Calibri" w:cs="Calibri"/>
        </w:rPr>
      </w:pPr>
      <w:r w:rsidRPr="00616282">
        <w:rPr>
          <w:rFonts w:ascii="Calibri" w:hAnsi="Calibri" w:cs="Calibri"/>
          <w:b/>
          <w:bCs/>
        </w:rPr>
        <w:t>Source</w:t>
      </w:r>
      <w:r w:rsidRPr="00616282">
        <w:rPr>
          <w:rFonts w:ascii="Calibri" w:hAnsi="Calibri" w:cs="Calibri"/>
        </w:rPr>
        <w:t xml:space="preserve">: </w:t>
      </w:r>
      <w:proofErr w:type="spellStart"/>
      <w:r w:rsidR="0068601A" w:rsidRPr="00616282">
        <w:rPr>
          <w:rFonts w:ascii="Calibri" w:hAnsi="Calibri" w:cs="Calibri"/>
        </w:rPr>
        <w:t>Natwest</w:t>
      </w:r>
      <w:proofErr w:type="spellEnd"/>
      <w:r w:rsidR="00D62840" w:rsidRPr="00616282">
        <w:rPr>
          <w:rFonts w:ascii="Calibri" w:hAnsi="Calibri" w:cs="Calibri"/>
        </w:rPr>
        <w:t xml:space="preserve">. 2022. </w:t>
      </w:r>
      <w:r w:rsidR="00D955E1" w:rsidRPr="00616282">
        <w:rPr>
          <w:rFonts w:ascii="Calibri" w:hAnsi="Calibri" w:cs="Calibri"/>
        </w:rPr>
        <w:t>Climate-related Disclosures Report</w:t>
      </w:r>
    </w:p>
    <w:p w14:paraId="215C431F" w14:textId="77777777" w:rsidR="006C700D" w:rsidRPr="00616282" w:rsidRDefault="006C700D" w:rsidP="006C700D">
      <w:pPr>
        <w:jc w:val="both"/>
        <w:rPr>
          <w:rFonts w:ascii="Calibri" w:hAnsi="Calibri" w:cs="Calibri"/>
          <w:lang w:val="en-GB"/>
        </w:rPr>
      </w:pPr>
    </w:p>
    <w:p w14:paraId="2B36D6F0" w14:textId="2B1A2CD1" w:rsidR="00D4073F" w:rsidRPr="00616282" w:rsidRDefault="00D4073F" w:rsidP="00D4073F">
      <w:pPr>
        <w:pStyle w:val="Heading3"/>
        <w:rPr>
          <w:rFonts w:ascii="Calibri" w:hAnsi="Calibri" w:cs="Calibri"/>
          <w:sz w:val="24"/>
          <w:lang w:val="en-GB"/>
        </w:rPr>
      </w:pPr>
      <w:bookmarkStart w:id="95" w:name="_Toc171908192"/>
      <w:r w:rsidRPr="00616282">
        <w:rPr>
          <w:rFonts w:ascii="Calibri" w:hAnsi="Calibri" w:cs="Calibri"/>
          <w:sz w:val="24"/>
          <w:lang w:val="en-GB"/>
        </w:rPr>
        <w:t>Climate-related targets</w:t>
      </w:r>
      <w:bookmarkEnd w:id="95"/>
    </w:p>
    <w:p w14:paraId="4AEADE9C" w14:textId="77777777" w:rsidR="00D4073F" w:rsidRPr="00616282" w:rsidRDefault="00D4073F" w:rsidP="00DC5130">
      <w:pPr>
        <w:jc w:val="both"/>
        <w:rPr>
          <w:rFonts w:ascii="Calibri" w:hAnsi="Calibri" w:cs="Calibri"/>
          <w:lang w:val="en-GB"/>
        </w:rPr>
      </w:pPr>
    </w:p>
    <w:p w14:paraId="64DE8BC4" w14:textId="30CDC8B6" w:rsidR="00EC4802" w:rsidRPr="00616282" w:rsidRDefault="006C700D" w:rsidP="00C662C5">
      <w:pPr>
        <w:jc w:val="both"/>
        <w:rPr>
          <w:rFonts w:ascii="Calibri" w:hAnsi="Calibri" w:cs="Calibri"/>
          <w:lang w:val="en-GB"/>
        </w:rPr>
      </w:pPr>
      <w:r w:rsidRPr="00616282">
        <w:rPr>
          <w:rFonts w:ascii="Calibri" w:hAnsi="Calibri" w:cs="Calibri"/>
          <w:lang w:val="en-GB"/>
        </w:rPr>
        <w:t>Similarly, the following is an illustration on how Barclays</w:t>
      </w:r>
      <w:r w:rsidR="004C3546" w:rsidRPr="00616282">
        <w:rPr>
          <w:rFonts w:ascii="Calibri" w:hAnsi="Calibri" w:cs="Calibri"/>
          <w:lang w:val="en-GB"/>
        </w:rPr>
        <w:t>’</w:t>
      </w:r>
      <w:r w:rsidRPr="00616282">
        <w:rPr>
          <w:rFonts w:ascii="Calibri" w:hAnsi="Calibri" w:cs="Calibri"/>
          <w:lang w:val="en-GB"/>
        </w:rPr>
        <w:t xml:space="preserve"> </w:t>
      </w:r>
      <w:r w:rsidR="004C3546" w:rsidRPr="00616282">
        <w:rPr>
          <w:rFonts w:ascii="Calibri" w:hAnsi="Calibri" w:cs="Calibri"/>
          <w:lang w:val="en-GB"/>
        </w:rPr>
        <w:t>aims at aligning business with climate-related opportunities</w:t>
      </w:r>
      <w:r w:rsidR="00561711" w:rsidRPr="00616282">
        <w:rPr>
          <w:rFonts w:ascii="Calibri" w:hAnsi="Calibri" w:cs="Calibri"/>
          <w:lang w:val="en-GB"/>
        </w:rPr>
        <w:t xml:space="preserve">, linked to their </w:t>
      </w:r>
      <w:r w:rsidR="0069134C" w:rsidRPr="00616282">
        <w:rPr>
          <w:rFonts w:ascii="Calibri" w:hAnsi="Calibri" w:cs="Calibri"/>
          <w:lang w:val="en-GB"/>
        </w:rPr>
        <w:t xml:space="preserve">short, </w:t>
      </w:r>
      <w:r w:rsidR="009C4B32" w:rsidRPr="00616282">
        <w:rPr>
          <w:rFonts w:ascii="Calibri" w:hAnsi="Calibri" w:cs="Calibri"/>
          <w:lang w:val="en-GB"/>
        </w:rPr>
        <w:t>medium,</w:t>
      </w:r>
      <w:r w:rsidR="0069134C" w:rsidRPr="00616282">
        <w:rPr>
          <w:rFonts w:ascii="Calibri" w:hAnsi="Calibri" w:cs="Calibri"/>
          <w:lang w:val="en-GB"/>
        </w:rPr>
        <w:t xml:space="preserve"> and long-term</w:t>
      </w:r>
      <w:r w:rsidR="00561711" w:rsidRPr="00616282">
        <w:rPr>
          <w:rFonts w:ascii="Calibri" w:hAnsi="Calibri" w:cs="Calibri"/>
          <w:lang w:val="en-GB"/>
        </w:rPr>
        <w:t xml:space="preserve"> targets. This entails a </w:t>
      </w:r>
      <w:r w:rsidR="00561711" w:rsidRPr="00616282">
        <w:rPr>
          <w:rFonts w:ascii="Calibri" w:hAnsi="Calibri" w:cs="Calibri"/>
          <w:lang w:val="en-GB"/>
        </w:rPr>
        <w:lastRenderedPageBreak/>
        <w:t xml:space="preserve">commitment to </w:t>
      </w:r>
      <w:r w:rsidR="0069134C" w:rsidRPr="00616282">
        <w:rPr>
          <w:rFonts w:ascii="Calibri" w:hAnsi="Calibri" w:cs="Calibri"/>
          <w:lang w:val="en-GB"/>
        </w:rPr>
        <w:t xml:space="preserve">capital allocations, considering future </w:t>
      </w:r>
      <w:r w:rsidR="00EE2352" w:rsidRPr="00616282">
        <w:rPr>
          <w:rFonts w:ascii="Calibri" w:hAnsi="Calibri" w:cs="Calibri"/>
          <w:lang w:val="en-GB"/>
        </w:rPr>
        <w:t>expenditure, financing</w:t>
      </w:r>
      <w:r w:rsidR="00796B7E">
        <w:rPr>
          <w:rFonts w:ascii="Calibri" w:hAnsi="Calibri" w:cs="Calibri"/>
          <w:lang w:val="en-GB"/>
        </w:rPr>
        <w:t>,</w:t>
      </w:r>
      <w:r w:rsidR="00EE2352" w:rsidRPr="00616282">
        <w:rPr>
          <w:rFonts w:ascii="Calibri" w:hAnsi="Calibri" w:cs="Calibri"/>
          <w:lang w:val="en-GB"/>
        </w:rPr>
        <w:t xml:space="preserve"> </w:t>
      </w:r>
      <w:r w:rsidR="0069134C" w:rsidRPr="00616282">
        <w:rPr>
          <w:rFonts w:ascii="Calibri" w:hAnsi="Calibri" w:cs="Calibri"/>
          <w:lang w:val="en-GB"/>
        </w:rPr>
        <w:t>and</w:t>
      </w:r>
      <w:r w:rsidR="00EE2352" w:rsidRPr="00616282">
        <w:rPr>
          <w:rFonts w:ascii="Calibri" w:hAnsi="Calibri" w:cs="Calibri"/>
          <w:lang w:val="en-GB"/>
        </w:rPr>
        <w:t xml:space="preserve"> investment deployed towards climate-related risks and </w:t>
      </w:r>
      <w:r w:rsidR="00D4073F" w:rsidRPr="00616282">
        <w:rPr>
          <w:rFonts w:ascii="Calibri" w:hAnsi="Calibri" w:cs="Calibri"/>
          <w:lang w:val="en-GB"/>
        </w:rPr>
        <w:t>opportunities.</w:t>
      </w:r>
      <w:r w:rsidR="00EC4802" w:rsidRPr="00616282">
        <w:rPr>
          <w:rFonts w:ascii="Calibri" w:hAnsi="Calibri" w:cs="Calibri"/>
          <w:lang w:val="en-GB"/>
        </w:rPr>
        <w:t xml:space="preserve"> This figure illustrates how the bank has defined </w:t>
      </w:r>
      <w:r w:rsidR="00CA5538" w:rsidRPr="00616282">
        <w:rPr>
          <w:rFonts w:ascii="Calibri" w:hAnsi="Calibri" w:cs="Calibri"/>
          <w:lang w:val="en-GB"/>
        </w:rPr>
        <w:t xml:space="preserve">the </w:t>
      </w:r>
      <w:r w:rsidR="00EC4802" w:rsidRPr="00616282">
        <w:rPr>
          <w:rFonts w:ascii="Calibri" w:hAnsi="Calibri" w:cs="Calibri"/>
          <w:lang w:val="en-GB"/>
        </w:rPr>
        <w:t>quantitative climate-related target</w:t>
      </w:r>
      <w:r w:rsidR="00CA5538" w:rsidRPr="00616282">
        <w:rPr>
          <w:rFonts w:ascii="Calibri" w:hAnsi="Calibri" w:cs="Calibri"/>
          <w:lang w:val="en-GB"/>
        </w:rPr>
        <w:t xml:space="preserve"> of reaching </w:t>
      </w:r>
      <w:r w:rsidR="008F61E2" w:rsidRPr="00616282">
        <w:rPr>
          <w:rFonts w:ascii="Calibri" w:hAnsi="Calibri" w:cs="Calibri"/>
          <w:lang w:val="en-GB"/>
        </w:rPr>
        <w:t xml:space="preserve">more than </w:t>
      </w:r>
      <w:r w:rsidR="003002D9">
        <w:rPr>
          <w:rFonts w:ascii="Calibri" w:hAnsi="Calibri" w:cs="Calibri"/>
          <w:lang w:val="en-GB"/>
        </w:rPr>
        <w:t xml:space="preserve">GBP </w:t>
      </w:r>
      <w:r w:rsidR="008F61E2" w:rsidRPr="00616282">
        <w:rPr>
          <w:rFonts w:ascii="Calibri" w:hAnsi="Calibri" w:cs="Calibri"/>
          <w:lang w:val="en-GB"/>
        </w:rPr>
        <w:t>100bn of green financing by 203</w:t>
      </w:r>
      <w:r w:rsidR="00796B7E">
        <w:rPr>
          <w:rFonts w:ascii="Calibri" w:hAnsi="Calibri" w:cs="Calibri"/>
          <w:lang w:val="en-GB"/>
        </w:rPr>
        <w:t>0</w:t>
      </w:r>
      <w:r w:rsidR="00CF3CDA" w:rsidRPr="00616282">
        <w:rPr>
          <w:rFonts w:ascii="Calibri" w:hAnsi="Calibri" w:cs="Calibri"/>
          <w:lang w:val="en-GB"/>
        </w:rPr>
        <w:t xml:space="preserve">, </w:t>
      </w:r>
      <w:r w:rsidR="008F61E2" w:rsidRPr="00616282">
        <w:rPr>
          <w:rFonts w:ascii="Calibri" w:hAnsi="Calibri" w:cs="Calibri"/>
          <w:lang w:val="en-GB"/>
        </w:rPr>
        <w:t xml:space="preserve">together with </w:t>
      </w:r>
      <w:r w:rsidR="00CF3CDA" w:rsidRPr="00616282">
        <w:rPr>
          <w:rFonts w:ascii="Calibri" w:hAnsi="Calibri" w:cs="Calibri"/>
          <w:lang w:val="en-GB"/>
        </w:rPr>
        <w:t>a tool for monitoring progress</w:t>
      </w:r>
      <w:r w:rsidR="00C662C5" w:rsidRPr="00616282">
        <w:rPr>
          <w:rFonts w:ascii="Calibri" w:hAnsi="Calibri" w:cs="Calibri"/>
          <w:lang w:val="en-GB"/>
        </w:rPr>
        <w:t xml:space="preserve"> in terms of geography and financial products. </w:t>
      </w:r>
    </w:p>
    <w:p w14:paraId="2217E42B" w14:textId="77777777" w:rsidR="005D4BCB" w:rsidRPr="00616282" w:rsidRDefault="005D4BCB" w:rsidP="005D4BCB">
      <w:pPr>
        <w:pStyle w:val="ListParagraph"/>
        <w:rPr>
          <w:rFonts w:ascii="Calibri" w:hAnsi="Calibri" w:cs="Calibri"/>
          <w:lang w:val="en-GB"/>
        </w:rPr>
      </w:pPr>
    </w:p>
    <w:p w14:paraId="1746BE2D" w14:textId="6D185881" w:rsidR="00DC5130" w:rsidRPr="00616282" w:rsidRDefault="00DC5130" w:rsidP="00616282">
      <w:pPr>
        <w:rPr>
          <w:rFonts w:ascii="Calibri" w:hAnsi="Calibri" w:cs="Calibri"/>
          <w:b/>
          <w:bCs/>
          <w:color w:val="ED7D31" w:themeColor="accent2"/>
          <w:lang w:val="en-GB"/>
        </w:rPr>
      </w:pPr>
      <w:bookmarkStart w:id="96" w:name="_Toc175223830"/>
      <w:r w:rsidRPr="00616282">
        <w:rPr>
          <w:rFonts w:ascii="Calibri" w:hAnsi="Calibri" w:cs="Calibri"/>
          <w:b/>
          <w:bCs/>
          <w:color w:val="ED7D31" w:themeColor="accent2"/>
          <w:lang w:val="en-GB"/>
        </w:rPr>
        <w:t xml:space="preserve">Figure </w:t>
      </w:r>
      <w:r w:rsidR="00446278" w:rsidRPr="00616282">
        <w:rPr>
          <w:rFonts w:ascii="Calibri" w:hAnsi="Calibri" w:cs="Calibri"/>
          <w:b/>
          <w:bCs/>
          <w:color w:val="ED7D31" w:themeColor="accent2"/>
          <w:lang w:val="en-GB"/>
        </w:rPr>
        <w:fldChar w:fldCharType="begin"/>
      </w:r>
      <w:r w:rsidR="00446278" w:rsidRPr="00616282">
        <w:rPr>
          <w:rFonts w:ascii="Calibri" w:hAnsi="Calibri" w:cs="Calibri"/>
          <w:b/>
          <w:bCs/>
          <w:color w:val="ED7D31" w:themeColor="accent2"/>
          <w:lang w:val="en-GB"/>
        </w:rPr>
        <w:instrText xml:space="preserve"> SEQ Figure \* ARABIC </w:instrText>
      </w:r>
      <w:r w:rsidR="00446278" w:rsidRPr="00616282">
        <w:rPr>
          <w:rFonts w:ascii="Calibri" w:hAnsi="Calibri" w:cs="Calibri"/>
          <w:b/>
          <w:bCs/>
          <w:color w:val="ED7D31" w:themeColor="accent2"/>
          <w:lang w:val="en-GB"/>
        </w:rPr>
        <w:fldChar w:fldCharType="separate"/>
      </w:r>
      <w:r w:rsidR="0096670A">
        <w:rPr>
          <w:rFonts w:ascii="Calibri" w:hAnsi="Calibri" w:cs="Calibri"/>
          <w:b/>
          <w:bCs/>
          <w:noProof/>
          <w:color w:val="ED7D31" w:themeColor="accent2"/>
          <w:lang w:val="en-GB"/>
        </w:rPr>
        <w:t>15</w:t>
      </w:r>
      <w:r w:rsidR="00446278" w:rsidRPr="00616282">
        <w:rPr>
          <w:rFonts w:ascii="Calibri" w:hAnsi="Calibri" w:cs="Calibri"/>
          <w:b/>
          <w:bCs/>
          <w:color w:val="ED7D31" w:themeColor="accent2"/>
          <w:lang w:val="en-GB"/>
        </w:rPr>
        <w:fldChar w:fldCharType="end"/>
      </w:r>
      <w:r w:rsidRPr="00616282">
        <w:rPr>
          <w:rFonts w:ascii="Calibri" w:hAnsi="Calibri" w:cs="Calibri"/>
          <w:b/>
          <w:bCs/>
          <w:color w:val="ED7D31" w:themeColor="accent2"/>
          <w:lang w:val="en-GB"/>
        </w:rPr>
        <w:t>. Barclays’</w:t>
      </w:r>
      <w:r w:rsidR="000C1BFD" w:rsidRPr="00616282">
        <w:rPr>
          <w:rFonts w:ascii="Calibri" w:hAnsi="Calibri" w:cs="Calibri"/>
          <w:b/>
          <w:bCs/>
          <w:color w:val="ED7D31" w:themeColor="accent2"/>
          <w:lang w:val="en-GB"/>
        </w:rPr>
        <w:t xml:space="preserve"> green financing commitments and progress toward 2030 goal</w:t>
      </w:r>
      <w:bookmarkEnd w:id="96"/>
      <w:r w:rsidRPr="00616282">
        <w:rPr>
          <w:rFonts w:ascii="Calibri" w:hAnsi="Calibri" w:cs="Calibri"/>
          <w:b/>
          <w:bCs/>
          <w:color w:val="ED7D31" w:themeColor="accent2"/>
          <w:lang w:val="en-GB"/>
        </w:rPr>
        <w:t xml:space="preserve"> </w:t>
      </w:r>
    </w:p>
    <w:p w14:paraId="3A5D8D80" w14:textId="50D4CF66" w:rsidR="00C340FF" w:rsidRPr="00616282" w:rsidRDefault="00CA4F0F" w:rsidP="000C1BFD">
      <w:pPr>
        <w:jc w:val="center"/>
        <w:rPr>
          <w:rFonts w:ascii="Calibri" w:hAnsi="Calibri" w:cs="Calibri"/>
          <w:lang w:val="en-GB"/>
        </w:rPr>
      </w:pPr>
      <w:r w:rsidRPr="00616282">
        <w:rPr>
          <w:rFonts w:ascii="Calibri" w:hAnsi="Calibri" w:cs="Calibri"/>
          <w:noProof/>
          <w:lang w:val="en-GB"/>
        </w:rPr>
        <w:drawing>
          <wp:anchor distT="0" distB="0" distL="114300" distR="114300" simplePos="0" relativeHeight="251658242" behindDoc="0" locked="0" layoutInCell="1" allowOverlap="1" wp14:anchorId="7BCF6FB9" wp14:editId="2000AEEB">
            <wp:simplePos x="0" y="0"/>
            <wp:positionH relativeFrom="column">
              <wp:posOffset>3013306</wp:posOffset>
            </wp:positionH>
            <wp:positionV relativeFrom="paragraph">
              <wp:posOffset>30884</wp:posOffset>
            </wp:positionV>
            <wp:extent cx="2974975" cy="2023110"/>
            <wp:effectExtent l="0" t="0" r="0" b="0"/>
            <wp:wrapTopAndBottom/>
            <wp:docPr id="554944527" name="Picture 1" descr="A screenshot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4944527" name="Picture 1" descr="A screenshot of a graph&#10;&#10;Description automatically generated"/>
                    <pic:cNvPicPr/>
                  </pic:nvPicPr>
                  <pic:blipFill rotWithShape="1">
                    <a:blip r:embed="rId42" cstate="print">
                      <a:clrChange>
                        <a:clrFrom>
                          <a:srgbClr val="F3F3F4"/>
                        </a:clrFrom>
                        <a:clrTo>
                          <a:srgbClr val="F3F3F4">
                            <a:alpha val="0"/>
                          </a:srgbClr>
                        </a:clrTo>
                      </a:clrChange>
                      <a:extLst>
                        <a:ext uri="{28A0092B-C50C-407E-A947-70E740481C1C}">
                          <a14:useLocalDpi xmlns:a14="http://schemas.microsoft.com/office/drawing/2010/main" val="0"/>
                        </a:ext>
                      </a:extLst>
                    </a:blip>
                    <a:srcRect t="47132"/>
                    <a:stretch/>
                  </pic:blipFill>
                  <pic:spPr bwMode="auto">
                    <a:xfrm>
                      <a:off x="0" y="0"/>
                      <a:ext cx="2974975" cy="202311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616282">
        <w:rPr>
          <w:rFonts w:ascii="Calibri" w:hAnsi="Calibri" w:cs="Calibri"/>
          <w:noProof/>
          <w:lang w:val="en-GB"/>
        </w:rPr>
        <w:drawing>
          <wp:anchor distT="0" distB="0" distL="114300" distR="114300" simplePos="0" relativeHeight="251658241" behindDoc="0" locked="0" layoutInCell="1" allowOverlap="1" wp14:anchorId="73216C8D" wp14:editId="72396C67">
            <wp:simplePos x="0" y="0"/>
            <wp:positionH relativeFrom="column">
              <wp:posOffset>76200</wp:posOffset>
            </wp:positionH>
            <wp:positionV relativeFrom="paragraph">
              <wp:posOffset>0</wp:posOffset>
            </wp:positionV>
            <wp:extent cx="2974975" cy="1530350"/>
            <wp:effectExtent l="0" t="0" r="0" b="0"/>
            <wp:wrapTopAndBottom/>
            <wp:docPr id="179841397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8413970" name="Picture 1798413970"/>
                    <pic:cNvPicPr/>
                  </pic:nvPicPr>
                  <pic:blipFill rotWithShape="1">
                    <a:blip r:embed="rId43" cstate="print">
                      <a:clrChange>
                        <a:clrFrom>
                          <a:srgbClr val="F3F3F4"/>
                        </a:clrFrom>
                        <a:clrTo>
                          <a:srgbClr val="F3F3F4">
                            <a:alpha val="0"/>
                          </a:srgbClr>
                        </a:clrTo>
                      </a:clrChange>
                      <a:extLst>
                        <a:ext uri="{28A0092B-C50C-407E-A947-70E740481C1C}">
                          <a14:useLocalDpi xmlns:a14="http://schemas.microsoft.com/office/drawing/2010/main" val="0"/>
                        </a:ext>
                      </a:extLst>
                    </a:blip>
                    <a:srcRect t="7151" b="52853"/>
                    <a:stretch/>
                  </pic:blipFill>
                  <pic:spPr bwMode="auto">
                    <a:xfrm>
                      <a:off x="0" y="0"/>
                      <a:ext cx="2974975" cy="15303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51D93071" w14:textId="49717337" w:rsidR="00B552C1" w:rsidRPr="00616282" w:rsidRDefault="00B552C1" w:rsidP="000C1BFD">
      <w:pPr>
        <w:jc w:val="center"/>
        <w:rPr>
          <w:rFonts w:ascii="Calibri" w:hAnsi="Calibri" w:cs="Calibri"/>
        </w:rPr>
      </w:pPr>
      <w:r w:rsidRPr="00616282">
        <w:rPr>
          <w:rFonts w:ascii="Calibri" w:hAnsi="Calibri" w:cs="Calibri"/>
          <w:b/>
          <w:bCs/>
          <w:lang w:val="en-GB"/>
        </w:rPr>
        <w:t>Source</w:t>
      </w:r>
      <w:r w:rsidRPr="00616282">
        <w:rPr>
          <w:rFonts w:ascii="Calibri" w:hAnsi="Calibri" w:cs="Calibri"/>
          <w:lang w:val="en-GB"/>
        </w:rPr>
        <w:t>: Barclays’</w:t>
      </w:r>
      <w:r w:rsidR="00D4073F" w:rsidRPr="00616282">
        <w:rPr>
          <w:rFonts w:ascii="Calibri" w:hAnsi="Calibri" w:cs="Calibri"/>
          <w:lang w:val="en-GB"/>
        </w:rPr>
        <w:t>. 2022.</w:t>
      </w:r>
      <w:r w:rsidRPr="00616282">
        <w:rPr>
          <w:rFonts w:ascii="Calibri" w:hAnsi="Calibri" w:cs="Calibri"/>
          <w:lang w:val="en-GB"/>
        </w:rPr>
        <w:t xml:space="preserve"> Climate Strategy, Targets and Progress</w:t>
      </w:r>
    </w:p>
    <w:p w14:paraId="2B7D6E44" w14:textId="77777777" w:rsidR="000275C4" w:rsidRPr="00616282" w:rsidRDefault="000275C4" w:rsidP="00616282">
      <w:pPr>
        <w:jc w:val="both"/>
        <w:outlineLvl w:val="0"/>
        <w:rPr>
          <w:rFonts w:ascii="Calibri" w:hAnsi="Calibri" w:cs="Calibri"/>
          <w:lang w:val="en-GB"/>
        </w:rPr>
      </w:pPr>
    </w:p>
    <w:p w14:paraId="21F04D54" w14:textId="2915023B" w:rsidR="00ED0409" w:rsidRPr="00616282" w:rsidRDefault="00ED0409" w:rsidP="00616282">
      <w:pPr>
        <w:jc w:val="both"/>
        <w:rPr>
          <w:rFonts w:ascii="Calibri" w:hAnsi="Calibri" w:cs="Calibri"/>
          <w:lang w:val="en-GB"/>
        </w:rPr>
      </w:pPr>
      <w:bookmarkStart w:id="97" w:name="_Toc167079308"/>
      <w:r w:rsidRPr="00616282">
        <w:rPr>
          <w:rFonts w:ascii="Calibri" w:hAnsi="Calibri" w:cs="Calibri"/>
          <w:lang w:val="en-GB"/>
        </w:rPr>
        <w:t xml:space="preserve">The Framework Templates </w:t>
      </w:r>
      <w:r w:rsidR="0051015D" w:rsidRPr="00616282">
        <w:rPr>
          <w:rFonts w:ascii="Calibri" w:hAnsi="Calibri" w:cs="Calibri"/>
          <w:lang w:val="en-GB"/>
        </w:rPr>
        <w:t xml:space="preserve">provide flexibility for banks to include metrics and targets they deem appropriate and fit to their business model and strategy. </w:t>
      </w:r>
      <w:r w:rsidR="002C6127" w:rsidRPr="00616282">
        <w:rPr>
          <w:rFonts w:ascii="Calibri" w:hAnsi="Calibri" w:cs="Calibri"/>
          <w:lang w:val="en-GB"/>
        </w:rPr>
        <w:t xml:space="preserve">Voluntary portions are </w:t>
      </w:r>
      <w:r w:rsidR="00781419" w:rsidRPr="00616282">
        <w:rPr>
          <w:rFonts w:ascii="Calibri" w:hAnsi="Calibri" w:cs="Calibri"/>
          <w:lang w:val="en-GB"/>
        </w:rPr>
        <w:t>highlighted in the Framework</w:t>
      </w:r>
      <w:r w:rsidR="003002D9">
        <w:rPr>
          <w:rFonts w:ascii="Calibri" w:hAnsi="Calibri" w:cs="Calibri"/>
          <w:lang w:val="en-GB"/>
        </w:rPr>
        <w:t>,</w:t>
      </w:r>
      <w:r w:rsidR="00781419" w:rsidRPr="00616282">
        <w:rPr>
          <w:rFonts w:ascii="Calibri" w:hAnsi="Calibri" w:cs="Calibri"/>
          <w:lang w:val="en-GB"/>
        </w:rPr>
        <w:t xml:space="preserve"> including the alignment metrics tab (see </w:t>
      </w:r>
      <w:r w:rsidR="00CD291C" w:rsidRPr="00616282">
        <w:rPr>
          <w:rFonts w:ascii="Calibri" w:hAnsi="Calibri" w:cs="Calibri"/>
          <w:lang w:val="en-GB"/>
        </w:rPr>
        <w:fldChar w:fldCharType="begin"/>
      </w:r>
      <w:r w:rsidR="00CD291C" w:rsidRPr="00616282">
        <w:rPr>
          <w:rFonts w:ascii="Calibri" w:hAnsi="Calibri" w:cs="Calibri"/>
          <w:lang w:val="en-GB"/>
        </w:rPr>
        <w:instrText xml:space="preserve"> REF _Ref167078862 \h </w:instrText>
      </w:r>
      <w:r w:rsidR="001E0563" w:rsidRPr="00616282">
        <w:rPr>
          <w:rFonts w:ascii="Calibri" w:hAnsi="Calibri" w:cs="Calibri"/>
          <w:lang w:val="en-GB"/>
        </w:rPr>
        <w:instrText xml:space="preserve"> \* MERGEFORMAT </w:instrText>
      </w:r>
      <w:r w:rsidR="00CD291C" w:rsidRPr="00616282">
        <w:rPr>
          <w:rFonts w:ascii="Calibri" w:hAnsi="Calibri" w:cs="Calibri"/>
          <w:lang w:val="en-GB"/>
        </w:rPr>
      </w:r>
      <w:r w:rsidR="00CD291C" w:rsidRPr="00616282">
        <w:rPr>
          <w:rFonts w:ascii="Calibri" w:hAnsi="Calibri" w:cs="Calibri"/>
          <w:lang w:val="en-GB"/>
        </w:rPr>
        <w:fldChar w:fldCharType="separate"/>
      </w:r>
      <w:r w:rsidR="0096670A" w:rsidRPr="0096670A">
        <w:rPr>
          <w:rFonts w:ascii="Calibri" w:hAnsi="Calibri" w:cs="Calibri"/>
          <w:b/>
          <w:color w:val="ED7D31" w:themeColor="accent2"/>
          <w:lang w:val="en-GB"/>
        </w:rPr>
        <w:t xml:space="preserve">Table </w:t>
      </w:r>
      <w:r w:rsidR="0096670A" w:rsidRPr="0096670A">
        <w:rPr>
          <w:rFonts w:ascii="Calibri" w:hAnsi="Calibri" w:cs="Calibri"/>
          <w:b/>
          <w:i/>
          <w:iCs/>
          <w:noProof/>
          <w:color w:val="ED7D31" w:themeColor="accent2"/>
          <w:lang w:val="en-GB"/>
        </w:rPr>
        <w:t>14.</w:t>
      </w:r>
      <w:r w:rsidR="0096670A" w:rsidRPr="0096670A">
        <w:rPr>
          <w:rFonts w:ascii="Calibri" w:hAnsi="Calibri" w:cs="Calibri"/>
          <w:b/>
          <w:color w:val="ED7D31" w:themeColor="accent2"/>
          <w:lang w:val="en-GB"/>
        </w:rPr>
        <w:t xml:space="preserve"> </w:t>
      </w:r>
      <w:r w:rsidR="0096670A" w:rsidRPr="0096670A">
        <w:rPr>
          <w:rFonts w:ascii="Calibri" w:hAnsi="Calibri" w:cs="Calibri"/>
          <w:b/>
          <w:i/>
          <w:iCs/>
          <w:color w:val="ED7D31" w:themeColor="accent2"/>
          <w:lang w:val="en-GB"/>
        </w:rPr>
        <w:t>Template for reporting</w:t>
      </w:r>
      <w:r w:rsidR="0096670A" w:rsidRPr="0096670A" w:rsidDel="003B2AB0">
        <w:rPr>
          <w:rFonts w:ascii="Calibri" w:hAnsi="Calibri" w:cs="Calibri"/>
          <w:b/>
          <w:i/>
          <w:iCs/>
          <w:color w:val="ED7D31" w:themeColor="accent2"/>
          <w:lang w:val="en-GB"/>
        </w:rPr>
        <w:t xml:space="preserve"> </w:t>
      </w:r>
      <w:r w:rsidR="0096670A" w:rsidRPr="0096670A">
        <w:rPr>
          <w:rFonts w:ascii="Calibri" w:hAnsi="Calibri" w:cs="Calibri"/>
          <w:b/>
          <w:i/>
          <w:iCs/>
          <w:color w:val="ED7D31" w:themeColor="accent2"/>
          <w:lang w:val="en-GB"/>
        </w:rPr>
        <w:t>optional alignment</w:t>
      </w:r>
      <w:r w:rsidR="0096670A" w:rsidRPr="00616282">
        <w:rPr>
          <w:rFonts w:ascii="Calibri" w:hAnsi="Calibri" w:cs="Calibri"/>
          <w:b/>
          <w:bCs/>
          <w:color w:val="ED7D31" w:themeColor="accent2"/>
          <w:lang w:val="en-GB"/>
        </w:rPr>
        <w:t xml:space="preserve"> metrics </w:t>
      </w:r>
      <w:r w:rsidR="00CD291C" w:rsidRPr="00616282">
        <w:rPr>
          <w:rFonts w:ascii="Calibri" w:hAnsi="Calibri" w:cs="Calibri"/>
          <w:lang w:val="en-GB"/>
        </w:rPr>
        <w:fldChar w:fldCharType="end"/>
      </w:r>
      <w:r w:rsidR="00CD291C" w:rsidRPr="00616282">
        <w:rPr>
          <w:rFonts w:ascii="Calibri" w:hAnsi="Calibri" w:cs="Calibri"/>
          <w:lang w:val="en-GB"/>
        </w:rPr>
        <w:t>).</w:t>
      </w:r>
      <w:bookmarkEnd w:id="97"/>
      <w:r w:rsidR="00CD291C" w:rsidRPr="00616282">
        <w:rPr>
          <w:rFonts w:ascii="Calibri" w:hAnsi="Calibri" w:cs="Calibri"/>
          <w:lang w:val="en-GB"/>
        </w:rPr>
        <w:t xml:space="preserve"> </w:t>
      </w:r>
    </w:p>
    <w:p w14:paraId="30366038" w14:textId="77777777" w:rsidR="00516E79" w:rsidRPr="00616282" w:rsidRDefault="00516E79" w:rsidP="00FB0DA0">
      <w:pPr>
        <w:outlineLvl w:val="0"/>
        <w:rPr>
          <w:rFonts w:ascii="Calibri" w:hAnsi="Calibri" w:cs="Calibri"/>
          <w:lang w:val="en-GB"/>
        </w:rPr>
      </w:pPr>
    </w:p>
    <w:p w14:paraId="4FAC859D" w14:textId="4FDD1213" w:rsidR="00516E79" w:rsidRPr="00616282" w:rsidRDefault="00A7466B" w:rsidP="00616282">
      <w:pPr>
        <w:pStyle w:val="Caption"/>
        <w:rPr>
          <w:rFonts w:ascii="Calibri" w:hAnsi="Calibri" w:cs="Calibri"/>
          <w:b/>
          <w:bCs/>
          <w:color w:val="ED7D31" w:themeColor="accent2"/>
          <w:lang w:val="en-GB"/>
        </w:rPr>
      </w:pPr>
      <w:bookmarkStart w:id="98" w:name="_Toc171908212"/>
      <w:r w:rsidRPr="00616282">
        <w:rPr>
          <w:rFonts w:ascii="Calibri" w:hAnsi="Calibri" w:cs="Calibri"/>
          <w:b/>
          <w:bCs/>
          <w:color w:val="ED7D31" w:themeColor="accent2"/>
          <w:lang w:val="en-GB"/>
        </w:rPr>
        <w:t xml:space="preserve">Table </w:t>
      </w:r>
      <w:r w:rsidRPr="00616282">
        <w:rPr>
          <w:rFonts w:ascii="Calibri" w:hAnsi="Calibri" w:cs="Calibri"/>
          <w:b/>
          <w:bCs/>
          <w:color w:val="ED7D31" w:themeColor="accent2"/>
          <w:lang w:val="en-GB"/>
        </w:rPr>
        <w:fldChar w:fldCharType="begin"/>
      </w:r>
      <w:r w:rsidRPr="00616282">
        <w:rPr>
          <w:rFonts w:ascii="Calibri" w:hAnsi="Calibri" w:cs="Calibri"/>
          <w:b/>
          <w:bCs/>
          <w:color w:val="ED7D31" w:themeColor="accent2"/>
          <w:lang w:val="en-GB"/>
        </w:rPr>
        <w:instrText xml:space="preserve"> SEQ Table \* ARABIC </w:instrText>
      </w:r>
      <w:r w:rsidRPr="00616282">
        <w:rPr>
          <w:rFonts w:ascii="Calibri" w:hAnsi="Calibri" w:cs="Calibri"/>
          <w:b/>
          <w:bCs/>
          <w:color w:val="ED7D31" w:themeColor="accent2"/>
          <w:lang w:val="en-GB"/>
        </w:rPr>
        <w:fldChar w:fldCharType="separate"/>
      </w:r>
      <w:r w:rsidR="0096670A">
        <w:rPr>
          <w:rFonts w:ascii="Calibri" w:hAnsi="Calibri" w:cs="Calibri"/>
          <w:b/>
          <w:bCs/>
          <w:noProof/>
          <w:color w:val="ED7D31" w:themeColor="accent2"/>
          <w:lang w:val="en-GB"/>
        </w:rPr>
        <w:t>18</w:t>
      </w:r>
      <w:r w:rsidRPr="00616282">
        <w:rPr>
          <w:rFonts w:ascii="Calibri" w:hAnsi="Calibri" w:cs="Calibri"/>
          <w:b/>
          <w:bCs/>
          <w:color w:val="ED7D31" w:themeColor="accent2"/>
          <w:lang w:val="en-GB"/>
        </w:rPr>
        <w:fldChar w:fldCharType="end"/>
      </w:r>
      <w:r w:rsidRPr="00616282">
        <w:rPr>
          <w:rFonts w:ascii="Calibri" w:hAnsi="Calibri" w:cs="Calibri"/>
          <w:b/>
          <w:bCs/>
          <w:color w:val="ED7D31" w:themeColor="accent2"/>
          <w:lang w:val="en-GB"/>
        </w:rPr>
        <w:t xml:space="preserve">. </w:t>
      </w:r>
      <w:r w:rsidR="00516E79" w:rsidRPr="00616282">
        <w:rPr>
          <w:rFonts w:ascii="Calibri" w:hAnsi="Calibri" w:cs="Calibri"/>
          <w:b/>
          <w:bCs/>
          <w:i w:val="0"/>
          <w:iCs w:val="0"/>
          <w:color w:val="ED7D31" w:themeColor="accent2"/>
          <w:lang w:val="en-GB"/>
        </w:rPr>
        <w:t>Core Metrics &amp; Targets</w:t>
      </w:r>
      <w:r w:rsidR="00D815E3" w:rsidRPr="00616282">
        <w:rPr>
          <w:rFonts w:ascii="Calibri" w:hAnsi="Calibri" w:cs="Calibri"/>
          <w:b/>
          <w:bCs/>
          <w:i w:val="0"/>
          <w:iCs w:val="0"/>
          <w:color w:val="ED7D31" w:themeColor="accent2"/>
          <w:lang w:val="en-GB"/>
        </w:rPr>
        <w:t xml:space="preserve"> (dark are </w:t>
      </w:r>
      <w:r w:rsidR="00D651CF" w:rsidRPr="00616282">
        <w:rPr>
          <w:rFonts w:ascii="Calibri" w:hAnsi="Calibri" w:cs="Calibri"/>
          <w:b/>
          <w:bCs/>
          <w:i w:val="0"/>
          <w:iCs w:val="0"/>
          <w:color w:val="ED7D31" w:themeColor="accent2"/>
          <w:lang w:val="en-GB"/>
        </w:rPr>
        <w:t>required, light grey voluntary)</w:t>
      </w:r>
      <w:bookmarkEnd w:id="98"/>
    </w:p>
    <w:p w14:paraId="5FB2FB9B" w14:textId="355A59BC" w:rsidR="00516E79" w:rsidRPr="00616282" w:rsidRDefault="00A7466B" w:rsidP="00F954E3">
      <w:pPr>
        <w:rPr>
          <w:rFonts w:ascii="Calibri" w:hAnsi="Calibri" w:cs="Calibri"/>
          <w:lang w:val="en-GB"/>
        </w:rPr>
      </w:pPr>
      <w:r w:rsidRPr="00616282">
        <w:rPr>
          <w:rFonts w:ascii="Calibri" w:hAnsi="Calibri" w:cs="Calibri"/>
          <w:noProof/>
          <w:lang w:val="en-GB"/>
        </w:rPr>
        <w:drawing>
          <wp:inline distT="0" distB="0" distL="0" distR="0" wp14:anchorId="7D30DBED" wp14:editId="68C663D1">
            <wp:extent cx="5731510" cy="3095625"/>
            <wp:effectExtent l="0" t="0" r="0" b="3175"/>
            <wp:docPr id="142723117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7231171" name=""/>
                    <pic:cNvPicPr/>
                  </pic:nvPicPr>
                  <pic:blipFill>
                    <a:blip r:embed="rId44"/>
                    <a:stretch>
                      <a:fillRect/>
                    </a:stretch>
                  </pic:blipFill>
                  <pic:spPr>
                    <a:xfrm>
                      <a:off x="0" y="0"/>
                      <a:ext cx="5731510" cy="3095625"/>
                    </a:xfrm>
                    <a:prstGeom prst="rect">
                      <a:avLst/>
                    </a:prstGeom>
                  </pic:spPr>
                </pic:pic>
              </a:graphicData>
            </a:graphic>
          </wp:inline>
        </w:drawing>
      </w:r>
    </w:p>
    <w:p w14:paraId="3D40289D" w14:textId="77777777" w:rsidR="00A74BD5" w:rsidRPr="00616282" w:rsidRDefault="00A74BD5" w:rsidP="00A74BD5">
      <w:pPr>
        <w:jc w:val="both"/>
        <w:rPr>
          <w:rFonts w:ascii="Calibri" w:hAnsi="Calibri" w:cs="Calibri"/>
          <w:sz w:val="20"/>
          <w:szCs w:val="20"/>
          <w:lang w:val="en-GB"/>
        </w:rPr>
      </w:pPr>
      <w:r w:rsidRPr="00616282">
        <w:rPr>
          <w:rFonts w:ascii="Calibri" w:hAnsi="Calibri" w:cs="Calibri"/>
          <w:b/>
          <w:bCs/>
          <w:sz w:val="20"/>
          <w:szCs w:val="20"/>
          <w:lang w:val="en-GB"/>
        </w:rPr>
        <w:t>Source</w:t>
      </w:r>
      <w:r w:rsidRPr="00616282">
        <w:rPr>
          <w:rFonts w:ascii="Calibri" w:hAnsi="Calibri" w:cs="Calibri"/>
          <w:sz w:val="20"/>
          <w:szCs w:val="20"/>
          <w:lang w:val="en-GB"/>
        </w:rPr>
        <w:t>: Adapted from European Banking Authority. 2022. Final</w:t>
      </w:r>
      <w:r w:rsidRPr="00616282">
        <w:rPr>
          <w:rFonts w:ascii="Calibri" w:hAnsi="Calibri" w:cs="Calibri"/>
          <w:sz w:val="20"/>
          <w:szCs w:val="20"/>
        </w:rPr>
        <w:t xml:space="preserve"> report draft implementing technical standards (ITS) on prudential disclosures on ESG. </w:t>
      </w:r>
    </w:p>
    <w:p w14:paraId="79876BF1" w14:textId="62F8895E" w:rsidR="00AF7F4C" w:rsidRPr="00616282" w:rsidRDefault="00AF7F4C" w:rsidP="00FB0DA0">
      <w:pPr>
        <w:outlineLvl w:val="0"/>
        <w:rPr>
          <w:rFonts w:ascii="Calibri" w:hAnsi="Calibri" w:cs="Calibri"/>
          <w:lang w:val="en-GB"/>
        </w:rPr>
      </w:pPr>
    </w:p>
    <w:p w14:paraId="6C2BDAEB" w14:textId="1F58B914" w:rsidR="001A2E36" w:rsidRDefault="00A95593" w:rsidP="0008057D">
      <w:pPr>
        <w:jc w:val="both"/>
        <w:rPr>
          <w:rFonts w:ascii="Calibri" w:hAnsi="Calibri" w:cs="Calibri"/>
          <w:lang w:val="en-GB"/>
        </w:rPr>
      </w:pPr>
      <w:bookmarkStart w:id="99" w:name="_Toc167079310"/>
      <w:r w:rsidRPr="00616282">
        <w:rPr>
          <w:rFonts w:ascii="Calibri" w:hAnsi="Calibri" w:cs="Calibri"/>
          <w:lang w:val="en-GB"/>
        </w:rPr>
        <w:lastRenderedPageBreak/>
        <w:t xml:space="preserve">The list encapsulated in Core Metrics &amp; Targets is not exhaustive. Indeed, there is </w:t>
      </w:r>
      <w:r w:rsidR="009D32E1" w:rsidRPr="00616282">
        <w:rPr>
          <w:rFonts w:ascii="Calibri" w:hAnsi="Calibri" w:cs="Calibri"/>
          <w:lang w:val="en-GB"/>
        </w:rPr>
        <w:t>room for additional metrics and targets as defined by banks. Resilience and climate adaptation metrics should play a critical role for banks in Kenya</w:t>
      </w:r>
      <w:r w:rsidR="003002D9">
        <w:rPr>
          <w:rFonts w:ascii="Calibri" w:hAnsi="Calibri" w:cs="Calibri"/>
          <w:lang w:val="en-GB"/>
        </w:rPr>
        <w:t>,</w:t>
      </w:r>
      <w:r w:rsidR="009D32E1" w:rsidRPr="00616282">
        <w:rPr>
          <w:rFonts w:ascii="Calibri" w:hAnsi="Calibri" w:cs="Calibri"/>
          <w:lang w:val="en-GB"/>
        </w:rPr>
        <w:t xml:space="preserve"> given the prevalence of physical climate-related risks.</w:t>
      </w:r>
      <w:r w:rsidR="00A7466B" w:rsidRPr="00616282" w:rsidDel="00A7466B">
        <w:rPr>
          <w:rFonts w:ascii="Calibri" w:hAnsi="Calibri" w:cs="Calibri"/>
          <w:lang w:val="en-GB"/>
        </w:rPr>
        <w:t xml:space="preserve"> </w:t>
      </w:r>
      <w:bookmarkEnd w:id="99"/>
    </w:p>
    <w:p w14:paraId="7C8BA3CC" w14:textId="71624BD9" w:rsidR="00467B15" w:rsidRPr="00360D47" w:rsidRDefault="001A2E36" w:rsidP="00360D47">
      <w:pPr>
        <w:pStyle w:val="Heading1"/>
        <w:pBdr>
          <w:bottom w:val="single" w:sz="8" w:space="1" w:color="2E74B5" w:themeColor="accent5" w:themeShade="BF"/>
        </w:pBdr>
        <w:rPr>
          <w:rFonts w:ascii="Calibri" w:hAnsi="Calibri" w:cs="Calibri"/>
        </w:rPr>
      </w:pPr>
      <w:bookmarkStart w:id="100" w:name="_Toc171908193"/>
      <w:r w:rsidRPr="00360D47">
        <w:rPr>
          <w:rFonts w:ascii="Calibri" w:hAnsi="Calibri" w:cs="Calibri"/>
        </w:rPr>
        <w:t>Implementation timeline</w:t>
      </w:r>
      <w:bookmarkEnd w:id="100"/>
    </w:p>
    <w:p w14:paraId="20C13B8A" w14:textId="77777777" w:rsidR="00D06CA3" w:rsidRDefault="00D06CA3">
      <w:pPr>
        <w:rPr>
          <w:rFonts w:ascii="Calibri" w:hAnsi="Calibri" w:cs="Calibri"/>
          <w:lang w:val="en-GB"/>
        </w:rPr>
      </w:pPr>
    </w:p>
    <w:tbl>
      <w:tblPr>
        <w:tblStyle w:val="TableGridLight"/>
        <w:tblW w:w="9351" w:type="dxa"/>
        <w:tblLayout w:type="fixed"/>
        <w:tblLook w:val="04A0" w:firstRow="1" w:lastRow="0" w:firstColumn="1" w:lastColumn="0" w:noHBand="0" w:noVBand="1"/>
      </w:tblPr>
      <w:tblGrid>
        <w:gridCol w:w="6658"/>
        <w:gridCol w:w="2693"/>
      </w:tblGrid>
      <w:tr w:rsidR="00F4660B" w:rsidRPr="00F4660B" w14:paraId="4E392707" w14:textId="77777777" w:rsidTr="0008057D">
        <w:trPr>
          <w:trHeight w:val="20"/>
        </w:trPr>
        <w:tc>
          <w:tcPr>
            <w:tcW w:w="6658" w:type="dxa"/>
            <w:shd w:val="clear" w:color="auto" w:fill="BFBFBF" w:themeFill="background1" w:themeFillShade="BF"/>
            <w:noWrap/>
            <w:hideMark/>
          </w:tcPr>
          <w:p w14:paraId="52E49C09" w14:textId="77777777" w:rsidR="00F4660B" w:rsidRPr="00167446" w:rsidRDefault="00F4660B" w:rsidP="0008057D">
            <w:pPr>
              <w:jc w:val="center"/>
              <w:rPr>
                <w:rFonts w:ascii="Calibri" w:hAnsi="Calibri" w:cs="Calibri"/>
                <w:b/>
                <w:bCs/>
                <w:color w:val="000000"/>
              </w:rPr>
            </w:pPr>
            <w:r w:rsidRPr="00167446">
              <w:rPr>
                <w:rFonts w:ascii="Calibri" w:hAnsi="Calibri" w:cs="Calibri"/>
                <w:b/>
                <w:bCs/>
                <w:color w:val="000000"/>
                <w:sz w:val="24"/>
                <w:szCs w:val="24"/>
              </w:rPr>
              <w:t>Activity</w:t>
            </w:r>
          </w:p>
        </w:tc>
        <w:tc>
          <w:tcPr>
            <w:tcW w:w="2693" w:type="dxa"/>
            <w:shd w:val="clear" w:color="auto" w:fill="BFBFBF" w:themeFill="background1" w:themeFillShade="BF"/>
            <w:noWrap/>
            <w:hideMark/>
          </w:tcPr>
          <w:p w14:paraId="2742F18B" w14:textId="77777777" w:rsidR="00F4660B" w:rsidRPr="00167446" w:rsidRDefault="00F4660B" w:rsidP="0008057D">
            <w:pPr>
              <w:jc w:val="center"/>
              <w:rPr>
                <w:rFonts w:ascii="Calibri" w:hAnsi="Calibri" w:cs="Calibri"/>
                <w:b/>
                <w:bCs/>
                <w:color w:val="000000"/>
              </w:rPr>
            </w:pPr>
            <w:r w:rsidRPr="00167446">
              <w:rPr>
                <w:rFonts w:ascii="Calibri" w:hAnsi="Calibri" w:cs="Calibri"/>
                <w:b/>
                <w:bCs/>
                <w:color w:val="000000"/>
                <w:sz w:val="24"/>
                <w:szCs w:val="24"/>
              </w:rPr>
              <w:t>Period/Dates</w:t>
            </w:r>
          </w:p>
        </w:tc>
      </w:tr>
      <w:tr w:rsidR="00F4660B" w:rsidRPr="00F4660B" w14:paraId="05BFAD56" w14:textId="77777777" w:rsidTr="0008057D">
        <w:trPr>
          <w:trHeight w:val="20"/>
        </w:trPr>
        <w:tc>
          <w:tcPr>
            <w:tcW w:w="6658" w:type="dxa"/>
            <w:noWrap/>
            <w:hideMark/>
          </w:tcPr>
          <w:p w14:paraId="019B26F7" w14:textId="77777777" w:rsidR="00F4660B" w:rsidRPr="00167446" w:rsidRDefault="00F4660B" w:rsidP="0008057D">
            <w:pPr>
              <w:rPr>
                <w:rFonts w:ascii="Calibri" w:hAnsi="Calibri" w:cs="Calibri"/>
                <w:color w:val="000000"/>
              </w:rPr>
            </w:pPr>
            <w:r w:rsidRPr="00167446">
              <w:rPr>
                <w:rFonts w:ascii="Calibri" w:hAnsi="Calibri" w:cs="Calibri"/>
                <w:color w:val="000000"/>
                <w:sz w:val="24"/>
                <w:szCs w:val="24"/>
              </w:rPr>
              <w:t>Stakeholder Consultations</w:t>
            </w:r>
          </w:p>
        </w:tc>
        <w:tc>
          <w:tcPr>
            <w:tcW w:w="2693" w:type="dxa"/>
            <w:noWrap/>
            <w:hideMark/>
          </w:tcPr>
          <w:p w14:paraId="38328907" w14:textId="77777777" w:rsidR="00F4660B" w:rsidRPr="00167446" w:rsidRDefault="00F4660B" w:rsidP="0008057D">
            <w:pPr>
              <w:jc w:val="center"/>
              <w:rPr>
                <w:rFonts w:ascii="Calibri" w:hAnsi="Calibri" w:cs="Calibri"/>
                <w:color w:val="000000"/>
                <w:lang w:val="en-US"/>
              </w:rPr>
            </w:pPr>
            <w:r w:rsidRPr="00167446">
              <w:rPr>
                <w:rFonts w:ascii="Calibri" w:hAnsi="Calibri" w:cs="Calibri"/>
                <w:color w:val="000000"/>
                <w:sz w:val="24"/>
                <w:szCs w:val="24"/>
              </w:rPr>
              <w:t>Aug – Oct 2024</w:t>
            </w:r>
          </w:p>
        </w:tc>
      </w:tr>
      <w:tr w:rsidR="00F4660B" w:rsidRPr="00F4660B" w14:paraId="486B930F" w14:textId="77777777" w:rsidTr="0008057D">
        <w:trPr>
          <w:trHeight w:val="20"/>
        </w:trPr>
        <w:tc>
          <w:tcPr>
            <w:tcW w:w="6658" w:type="dxa"/>
            <w:noWrap/>
          </w:tcPr>
          <w:p w14:paraId="25696860" w14:textId="77777777" w:rsidR="00F4660B" w:rsidRPr="00167446" w:rsidRDefault="00F4660B" w:rsidP="0008057D">
            <w:pPr>
              <w:rPr>
                <w:rFonts w:ascii="Calibri" w:hAnsi="Calibri" w:cs="Calibri"/>
                <w:color w:val="000000"/>
              </w:rPr>
            </w:pPr>
            <w:r w:rsidRPr="00167446">
              <w:rPr>
                <w:rFonts w:ascii="Calibri" w:hAnsi="Calibri" w:cs="Calibri"/>
                <w:color w:val="000000"/>
                <w:sz w:val="24"/>
                <w:szCs w:val="24"/>
              </w:rPr>
              <w:t>Refinement of the Enhanced Climate Disclosure Framework</w:t>
            </w:r>
          </w:p>
        </w:tc>
        <w:tc>
          <w:tcPr>
            <w:tcW w:w="2693" w:type="dxa"/>
            <w:noWrap/>
          </w:tcPr>
          <w:p w14:paraId="57D60430" w14:textId="77777777" w:rsidR="00F4660B" w:rsidRPr="00167446" w:rsidRDefault="00F4660B" w:rsidP="0008057D">
            <w:pPr>
              <w:jc w:val="center"/>
              <w:rPr>
                <w:rFonts w:ascii="Calibri" w:hAnsi="Calibri" w:cs="Calibri"/>
                <w:color w:val="000000"/>
              </w:rPr>
            </w:pPr>
            <w:r w:rsidRPr="00167446">
              <w:rPr>
                <w:rFonts w:ascii="Calibri" w:hAnsi="Calibri" w:cs="Calibri"/>
                <w:color w:val="000000"/>
                <w:sz w:val="24"/>
                <w:szCs w:val="24"/>
              </w:rPr>
              <w:t>Oct – Dec 2024</w:t>
            </w:r>
          </w:p>
        </w:tc>
      </w:tr>
      <w:tr w:rsidR="00F4660B" w:rsidRPr="00F4660B" w14:paraId="5DEDE584" w14:textId="77777777" w:rsidTr="0008057D">
        <w:trPr>
          <w:trHeight w:val="20"/>
        </w:trPr>
        <w:tc>
          <w:tcPr>
            <w:tcW w:w="6658" w:type="dxa"/>
            <w:noWrap/>
          </w:tcPr>
          <w:p w14:paraId="61F57652" w14:textId="77777777" w:rsidR="00F4660B" w:rsidRPr="00167446" w:rsidRDefault="00F4660B" w:rsidP="0008057D">
            <w:pPr>
              <w:rPr>
                <w:rFonts w:ascii="Calibri" w:hAnsi="Calibri" w:cs="Calibri"/>
                <w:color w:val="000000"/>
              </w:rPr>
            </w:pPr>
            <w:r w:rsidRPr="00167446">
              <w:rPr>
                <w:rFonts w:ascii="Calibri" w:hAnsi="Calibri" w:cs="Calibri"/>
                <w:color w:val="000000"/>
                <w:sz w:val="24"/>
                <w:szCs w:val="24"/>
              </w:rPr>
              <w:t>Launching a dedicated site at the Central Bank of Kenya to facilitate reporting</w:t>
            </w:r>
          </w:p>
        </w:tc>
        <w:tc>
          <w:tcPr>
            <w:tcW w:w="2693" w:type="dxa"/>
            <w:noWrap/>
          </w:tcPr>
          <w:p w14:paraId="20C919C2" w14:textId="77777777" w:rsidR="00F4660B" w:rsidRPr="00167446" w:rsidRDefault="00F4660B" w:rsidP="0008057D">
            <w:pPr>
              <w:jc w:val="center"/>
              <w:rPr>
                <w:rFonts w:ascii="Calibri" w:hAnsi="Calibri" w:cs="Calibri"/>
                <w:color w:val="000000"/>
              </w:rPr>
            </w:pPr>
            <w:r w:rsidRPr="00167446">
              <w:rPr>
                <w:rFonts w:ascii="Calibri" w:hAnsi="Calibri" w:cs="Calibri"/>
                <w:color w:val="000000"/>
                <w:sz w:val="24"/>
                <w:szCs w:val="24"/>
              </w:rPr>
              <w:t>Jan 2025</w:t>
            </w:r>
          </w:p>
        </w:tc>
      </w:tr>
      <w:tr w:rsidR="00F4660B" w:rsidRPr="00F4660B" w14:paraId="37054EF5" w14:textId="77777777" w:rsidTr="0008057D">
        <w:trPr>
          <w:trHeight w:val="20"/>
        </w:trPr>
        <w:tc>
          <w:tcPr>
            <w:tcW w:w="6658" w:type="dxa"/>
            <w:noWrap/>
            <w:hideMark/>
          </w:tcPr>
          <w:p w14:paraId="0A8AE215" w14:textId="77777777" w:rsidR="00F4660B" w:rsidRPr="00167446" w:rsidRDefault="00F4660B" w:rsidP="0008057D">
            <w:pPr>
              <w:rPr>
                <w:rFonts w:ascii="Calibri" w:hAnsi="Calibri" w:cs="Calibri"/>
                <w:color w:val="000000"/>
              </w:rPr>
            </w:pPr>
            <w:r w:rsidRPr="00167446">
              <w:rPr>
                <w:rFonts w:ascii="Calibri" w:hAnsi="Calibri" w:cs="Calibri"/>
                <w:color w:val="000000"/>
                <w:sz w:val="24"/>
                <w:szCs w:val="24"/>
              </w:rPr>
              <w:t>Issuance of Enhanced Climate Disclosure Framework</w:t>
            </w:r>
          </w:p>
        </w:tc>
        <w:tc>
          <w:tcPr>
            <w:tcW w:w="2693" w:type="dxa"/>
            <w:noWrap/>
            <w:hideMark/>
          </w:tcPr>
          <w:p w14:paraId="0D0FED0A" w14:textId="77777777" w:rsidR="00F4660B" w:rsidRPr="00167446" w:rsidRDefault="00F4660B" w:rsidP="0008057D">
            <w:pPr>
              <w:jc w:val="center"/>
              <w:rPr>
                <w:rFonts w:ascii="Calibri" w:hAnsi="Calibri" w:cs="Calibri"/>
                <w:color w:val="000000"/>
              </w:rPr>
            </w:pPr>
            <w:r w:rsidRPr="00167446">
              <w:rPr>
                <w:rFonts w:ascii="Calibri" w:hAnsi="Calibri" w:cs="Calibri"/>
                <w:color w:val="000000"/>
                <w:sz w:val="24"/>
                <w:szCs w:val="24"/>
              </w:rPr>
              <w:t>Jan 2025</w:t>
            </w:r>
          </w:p>
        </w:tc>
      </w:tr>
      <w:tr w:rsidR="00F4660B" w:rsidRPr="00F4660B" w14:paraId="15257FDB" w14:textId="77777777" w:rsidTr="0008057D">
        <w:trPr>
          <w:trHeight w:val="20"/>
        </w:trPr>
        <w:tc>
          <w:tcPr>
            <w:tcW w:w="6658" w:type="dxa"/>
            <w:noWrap/>
            <w:hideMark/>
          </w:tcPr>
          <w:p w14:paraId="61B2DAED" w14:textId="77777777" w:rsidR="00F4660B" w:rsidRPr="00167446" w:rsidRDefault="00F4660B" w:rsidP="0008057D">
            <w:pPr>
              <w:rPr>
                <w:rFonts w:ascii="Calibri" w:hAnsi="Calibri" w:cs="Calibri"/>
                <w:color w:val="000000"/>
              </w:rPr>
            </w:pPr>
            <w:r w:rsidRPr="00167446">
              <w:rPr>
                <w:rFonts w:ascii="Calibri" w:hAnsi="Calibri" w:cs="Calibri"/>
                <w:color w:val="000000"/>
                <w:sz w:val="24"/>
                <w:szCs w:val="24"/>
              </w:rPr>
              <w:t>Beginning of annual voluntary reporting</w:t>
            </w:r>
          </w:p>
        </w:tc>
        <w:tc>
          <w:tcPr>
            <w:tcW w:w="2693" w:type="dxa"/>
            <w:noWrap/>
            <w:hideMark/>
          </w:tcPr>
          <w:p w14:paraId="2585B2B5" w14:textId="77777777" w:rsidR="00F4660B" w:rsidRPr="00167446" w:rsidRDefault="00F4660B" w:rsidP="0008057D">
            <w:pPr>
              <w:jc w:val="center"/>
              <w:rPr>
                <w:rFonts w:ascii="Calibri" w:hAnsi="Calibri" w:cs="Calibri"/>
                <w:color w:val="000000"/>
              </w:rPr>
            </w:pPr>
            <w:r w:rsidRPr="00167446">
              <w:rPr>
                <w:rFonts w:ascii="Calibri" w:hAnsi="Calibri" w:cs="Calibri"/>
                <w:color w:val="000000"/>
                <w:sz w:val="24"/>
                <w:szCs w:val="24"/>
              </w:rPr>
              <w:t>Jan 2025</w:t>
            </w:r>
          </w:p>
        </w:tc>
      </w:tr>
      <w:tr w:rsidR="00F4660B" w:rsidRPr="00F4660B" w14:paraId="78CEBCD9" w14:textId="77777777" w:rsidTr="0008057D">
        <w:trPr>
          <w:trHeight w:val="20"/>
        </w:trPr>
        <w:tc>
          <w:tcPr>
            <w:tcW w:w="6658" w:type="dxa"/>
            <w:noWrap/>
            <w:hideMark/>
          </w:tcPr>
          <w:p w14:paraId="5AA6AD94" w14:textId="77777777" w:rsidR="00F4660B" w:rsidRPr="00167446" w:rsidRDefault="00F4660B" w:rsidP="00167446">
            <w:pPr>
              <w:pStyle w:val="ListParagraph"/>
              <w:numPr>
                <w:ilvl w:val="0"/>
                <w:numId w:val="48"/>
              </w:numPr>
              <w:ind w:left="176" w:hanging="176"/>
              <w:rPr>
                <w:rFonts w:ascii="Calibri" w:hAnsi="Calibri" w:cs="Calibri"/>
                <w:color w:val="000000"/>
              </w:rPr>
            </w:pPr>
            <w:r w:rsidRPr="00167446">
              <w:rPr>
                <w:rFonts w:ascii="Calibri" w:hAnsi="Calibri" w:cs="Calibri"/>
                <w:color w:val="000000"/>
                <w:sz w:val="24"/>
                <w:szCs w:val="24"/>
              </w:rPr>
              <w:t>Tier 1 Peer Group</w:t>
            </w:r>
          </w:p>
        </w:tc>
        <w:tc>
          <w:tcPr>
            <w:tcW w:w="2693" w:type="dxa"/>
            <w:noWrap/>
            <w:hideMark/>
          </w:tcPr>
          <w:p w14:paraId="475DE95F" w14:textId="77777777" w:rsidR="00F4660B" w:rsidRPr="00167446" w:rsidRDefault="00F4660B" w:rsidP="0008057D">
            <w:pPr>
              <w:jc w:val="center"/>
              <w:rPr>
                <w:rFonts w:ascii="Calibri" w:hAnsi="Calibri" w:cs="Calibri"/>
                <w:color w:val="000000"/>
              </w:rPr>
            </w:pPr>
            <w:r w:rsidRPr="00167446">
              <w:rPr>
                <w:rFonts w:ascii="Calibri" w:hAnsi="Calibri" w:cs="Calibri"/>
                <w:color w:val="000000"/>
                <w:sz w:val="24"/>
                <w:szCs w:val="24"/>
              </w:rPr>
              <w:t>Jun 2025</w:t>
            </w:r>
          </w:p>
        </w:tc>
      </w:tr>
      <w:tr w:rsidR="00F4660B" w:rsidRPr="00F4660B" w14:paraId="19B9786A" w14:textId="77777777" w:rsidTr="0008057D">
        <w:trPr>
          <w:trHeight w:val="20"/>
        </w:trPr>
        <w:tc>
          <w:tcPr>
            <w:tcW w:w="6658" w:type="dxa"/>
            <w:noWrap/>
            <w:hideMark/>
          </w:tcPr>
          <w:p w14:paraId="2E2FBAC8" w14:textId="77777777" w:rsidR="00F4660B" w:rsidRPr="00167446" w:rsidRDefault="00F4660B" w:rsidP="00167446">
            <w:pPr>
              <w:pStyle w:val="ListParagraph"/>
              <w:numPr>
                <w:ilvl w:val="0"/>
                <w:numId w:val="48"/>
              </w:numPr>
              <w:ind w:left="176" w:hanging="176"/>
              <w:rPr>
                <w:rFonts w:ascii="Calibri" w:hAnsi="Calibri" w:cs="Calibri"/>
                <w:color w:val="000000"/>
              </w:rPr>
            </w:pPr>
            <w:r w:rsidRPr="00167446">
              <w:rPr>
                <w:rFonts w:ascii="Calibri" w:hAnsi="Calibri" w:cs="Calibri"/>
                <w:color w:val="000000"/>
                <w:sz w:val="24"/>
                <w:szCs w:val="24"/>
              </w:rPr>
              <w:t>Tier 2 Peer Group</w:t>
            </w:r>
          </w:p>
        </w:tc>
        <w:tc>
          <w:tcPr>
            <w:tcW w:w="2693" w:type="dxa"/>
            <w:noWrap/>
            <w:hideMark/>
          </w:tcPr>
          <w:p w14:paraId="781D5E59" w14:textId="77777777" w:rsidR="00F4660B" w:rsidRPr="00167446" w:rsidRDefault="00F4660B" w:rsidP="0008057D">
            <w:pPr>
              <w:jc w:val="center"/>
              <w:rPr>
                <w:rFonts w:ascii="Calibri" w:hAnsi="Calibri" w:cs="Calibri"/>
                <w:color w:val="000000"/>
              </w:rPr>
            </w:pPr>
            <w:r w:rsidRPr="00167446">
              <w:rPr>
                <w:rFonts w:ascii="Calibri" w:hAnsi="Calibri" w:cs="Calibri"/>
                <w:color w:val="000000"/>
                <w:sz w:val="24"/>
                <w:szCs w:val="24"/>
              </w:rPr>
              <w:t>Dec 2025</w:t>
            </w:r>
          </w:p>
        </w:tc>
      </w:tr>
      <w:tr w:rsidR="00F4660B" w:rsidRPr="00F4660B" w14:paraId="1B9D7720" w14:textId="77777777" w:rsidTr="0008057D">
        <w:trPr>
          <w:trHeight w:val="20"/>
        </w:trPr>
        <w:tc>
          <w:tcPr>
            <w:tcW w:w="6658" w:type="dxa"/>
            <w:noWrap/>
            <w:hideMark/>
          </w:tcPr>
          <w:p w14:paraId="7B4D4C8D" w14:textId="77777777" w:rsidR="00F4660B" w:rsidRPr="00167446" w:rsidRDefault="00F4660B" w:rsidP="00167446">
            <w:pPr>
              <w:pStyle w:val="ListParagraph"/>
              <w:numPr>
                <w:ilvl w:val="0"/>
                <w:numId w:val="48"/>
              </w:numPr>
              <w:ind w:left="176" w:hanging="176"/>
              <w:rPr>
                <w:rFonts w:ascii="Calibri" w:hAnsi="Calibri" w:cs="Calibri"/>
                <w:color w:val="000000"/>
              </w:rPr>
            </w:pPr>
            <w:r w:rsidRPr="00167446">
              <w:rPr>
                <w:rFonts w:ascii="Calibri" w:hAnsi="Calibri" w:cs="Calibri"/>
                <w:color w:val="000000"/>
                <w:sz w:val="24"/>
                <w:szCs w:val="24"/>
              </w:rPr>
              <w:t>Tier 3 Peer Group</w:t>
            </w:r>
          </w:p>
        </w:tc>
        <w:tc>
          <w:tcPr>
            <w:tcW w:w="2693" w:type="dxa"/>
            <w:noWrap/>
            <w:hideMark/>
          </w:tcPr>
          <w:p w14:paraId="5F7EB974" w14:textId="77777777" w:rsidR="00F4660B" w:rsidRPr="00167446" w:rsidRDefault="00F4660B" w:rsidP="0008057D">
            <w:pPr>
              <w:jc w:val="center"/>
              <w:rPr>
                <w:rFonts w:ascii="Calibri" w:hAnsi="Calibri" w:cs="Calibri"/>
                <w:color w:val="000000"/>
              </w:rPr>
            </w:pPr>
            <w:r w:rsidRPr="00167446">
              <w:rPr>
                <w:rFonts w:ascii="Calibri" w:hAnsi="Calibri" w:cs="Calibri"/>
                <w:color w:val="000000"/>
                <w:sz w:val="24"/>
                <w:szCs w:val="24"/>
              </w:rPr>
              <w:t>Jun 2026</w:t>
            </w:r>
          </w:p>
        </w:tc>
      </w:tr>
      <w:tr w:rsidR="00F4660B" w:rsidRPr="00F4660B" w14:paraId="51D73922" w14:textId="77777777" w:rsidTr="0008057D">
        <w:trPr>
          <w:trHeight w:val="20"/>
        </w:trPr>
        <w:tc>
          <w:tcPr>
            <w:tcW w:w="6658" w:type="dxa"/>
            <w:noWrap/>
            <w:hideMark/>
          </w:tcPr>
          <w:p w14:paraId="02EFD441" w14:textId="77777777" w:rsidR="00F4660B" w:rsidRPr="00167446" w:rsidRDefault="00F4660B" w:rsidP="0008057D">
            <w:pPr>
              <w:rPr>
                <w:rFonts w:ascii="Calibri" w:hAnsi="Calibri" w:cs="Calibri"/>
                <w:color w:val="000000"/>
              </w:rPr>
            </w:pPr>
            <w:r w:rsidRPr="00167446">
              <w:rPr>
                <w:rFonts w:ascii="Calibri" w:hAnsi="Calibri" w:cs="Calibri"/>
                <w:color w:val="000000"/>
                <w:sz w:val="24"/>
                <w:szCs w:val="24"/>
              </w:rPr>
              <w:t>Mandatory annual reporting to Central Bank of Kenya in line with the Framework</w:t>
            </w:r>
          </w:p>
        </w:tc>
        <w:tc>
          <w:tcPr>
            <w:tcW w:w="2693" w:type="dxa"/>
            <w:noWrap/>
            <w:hideMark/>
          </w:tcPr>
          <w:p w14:paraId="45AE7BFB" w14:textId="52B9ED30" w:rsidR="00F4660B" w:rsidRPr="00167446" w:rsidRDefault="00F4660B" w:rsidP="0008057D">
            <w:pPr>
              <w:jc w:val="center"/>
              <w:rPr>
                <w:rFonts w:ascii="Calibri" w:hAnsi="Calibri" w:cs="Calibri"/>
                <w:color w:val="000000"/>
              </w:rPr>
            </w:pPr>
            <w:r w:rsidRPr="00167446">
              <w:rPr>
                <w:rFonts w:ascii="Calibri" w:hAnsi="Calibri" w:cs="Calibri"/>
                <w:color w:val="000000"/>
                <w:sz w:val="24"/>
                <w:szCs w:val="24"/>
              </w:rPr>
              <w:t>J</w:t>
            </w:r>
            <w:r w:rsidR="008B2877">
              <w:rPr>
                <w:rFonts w:ascii="Calibri" w:hAnsi="Calibri" w:cs="Calibri"/>
                <w:color w:val="000000"/>
                <w:sz w:val="24"/>
                <w:szCs w:val="24"/>
              </w:rPr>
              <w:t xml:space="preserve">an </w:t>
            </w:r>
            <w:r w:rsidRPr="00167446">
              <w:rPr>
                <w:rFonts w:ascii="Calibri" w:hAnsi="Calibri" w:cs="Calibri"/>
                <w:color w:val="000000"/>
                <w:sz w:val="24"/>
                <w:szCs w:val="24"/>
              </w:rPr>
              <w:t>202</w:t>
            </w:r>
            <w:r w:rsidR="008B2877">
              <w:rPr>
                <w:rFonts w:ascii="Calibri" w:hAnsi="Calibri" w:cs="Calibri"/>
                <w:color w:val="000000"/>
                <w:sz w:val="24"/>
                <w:szCs w:val="24"/>
              </w:rPr>
              <w:t>7</w:t>
            </w:r>
          </w:p>
        </w:tc>
      </w:tr>
    </w:tbl>
    <w:p w14:paraId="2CB6AD88" w14:textId="671B6366" w:rsidR="00CB4FD6" w:rsidRDefault="00CB4FD6">
      <w:pPr>
        <w:rPr>
          <w:rFonts w:ascii="Calibri" w:hAnsi="Calibri" w:cs="Calibri"/>
          <w:lang w:val="en-GB"/>
        </w:rPr>
      </w:pPr>
      <w:r>
        <w:rPr>
          <w:rFonts w:ascii="Calibri" w:hAnsi="Calibri" w:cs="Calibri"/>
          <w:lang w:val="en-GB"/>
        </w:rPr>
        <w:br w:type="page"/>
      </w:r>
    </w:p>
    <w:p w14:paraId="115720D3" w14:textId="525BC9E1" w:rsidR="00A053B4" w:rsidRDefault="00A053B4" w:rsidP="00CB4FD6">
      <w:pPr>
        <w:pStyle w:val="Heading2"/>
        <w:rPr>
          <w:lang w:val="en-GB"/>
        </w:rPr>
      </w:pPr>
      <w:bookmarkStart w:id="101" w:name="_Toc171908194"/>
      <w:r>
        <w:rPr>
          <w:lang w:val="en-GB"/>
        </w:rPr>
        <w:lastRenderedPageBreak/>
        <w:t>Bibliography</w:t>
      </w:r>
      <w:bookmarkEnd w:id="101"/>
    </w:p>
    <w:p w14:paraId="16A80432" w14:textId="77777777" w:rsidR="00420D39" w:rsidRDefault="00420D39" w:rsidP="00616282">
      <w:pPr>
        <w:jc w:val="both"/>
        <w:rPr>
          <w:rFonts w:ascii="Calibri" w:hAnsi="Calibri" w:cs="Calibri"/>
          <w:lang w:val="en-GB"/>
        </w:rPr>
      </w:pPr>
    </w:p>
    <w:p w14:paraId="3546B068" w14:textId="0A24E279" w:rsidR="00477AAD" w:rsidRDefault="00477AAD" w:rsidP="00477AAD">
      <w:pPr>
        <w:numPr>
          <w:ilvl w:val="0"/>
          <w:numId w:val="51"/>
        </w:numPr>
        <w:spacing w:after="160" w:line="259" w:lineRule="auto"/>
        <w:contextualSpacing/>
        <w:rPr>
          <w:rFonts w:asciiTheme="minorHAnsi" w:eastAsiaTheme="minorHAnsi" w:hAnsiTheme="minorHAnsi" w:cstheme="minorBidi"/>
          <w:kern w:val="2"/>
          <w:lang w:val="en-GB" w:eastAsia="en-US"/>
          <w14:ligatures w14:val="standardContextual"/>
        </w:rPr>
      </w:pPr>
      <w:r w:rsidRPr="00477AAD">
        <w:rPr>
          <w:rFonts w:asciiTheme="minorHAnsi" w:eastAsiaTheme="minorHAnsi" w:hAnsiTheme="minorHAnsi" w:cstheme="minorBidi"/>
          <w:kern w:val="2"/>
          <w:lang w:val="en-GB" w:eastAsia="en-US"/>
          <w14:ligatures w14:val="standardContextual"/>
        </w:rPr>
        <w:t xml:space="preserve">Central Bank of Kenya. (2021). </w:t>
      </w:r>
      <w:r w:rsidRPr="00477AAD">
        <w:rPr>
          <w:rFonts w:asciiTheme="minorHAnsi" w:eastAsiaTheme="minorHAnsi" w:hAnsiTheme="minorHAnsi" w:cstheme="minorBidi"/>
          <w:i/>
          <w:iCs/>
          <w:kern w:val="2"/>
          <w:lang w:val="en-GB" w:eastAsia="en-US"/>
          <w14:ligatures w14:val="standardContextual"/>
        </w:rPr>
        <w:t>Guidance on climate-related risk management</w:t>
      </w:r>
      <w:r w:rsidRPr="00477AAD">
        <w:rPr>
          <w:rFonts w:asciiTheme="minorHAnsi" w:eastAsiaTheme="minorHAnsi" w:hAnsiTheme="minorHAnsi" w:cstheme="minorBidi"/>
          <w:kern w:val="2"/>
          <w:lang w:val="en-GB" w:eastAsia="en-US"/>
          <w14:ligatures w14:val="standardContextual"/>
        </w:rPr>
        <w:t xml:space="preserve">. Retrieved from </w:t>
      </w:r>
      <w:hyperlink r:id="rId45" w:history="1">
        <w:r w:rsidRPr="00477AAD">
          <w:rPr>
            <w:rStyle w:val="Hyperlink"/>
            <w:rFonts w:asciiTheme="minorHAnsi" w:eastAsiaTheme="minorHAnsi" w:hAnsiTheme="minorHAnsi" w:cstheme="minorBidi"/>
            <w:kern w:val="2"/>
            <w:lang w:val="en-GB" w:eastAsia="en-US"/>
            <w14:ligatures w14:val="standardContextual"/>
          </w:rPr>
          <w:t>https://www.centralbank.go.ke</w:t>
        </w:r>
      </w:hyperlink>
      <w:r w:rsidRPr="00477AAD">
        <w:rPr>
          <w:rFonts w:asciiTheme="minorHAnsi" w:eastAsiaTheme="minorHAnsi" w:hAnsiTheme="minorHAnsi" w:cstheme="minorBidi"/>
          <w:kern w:val="2"/>
          <w:lang w:val="en-GB" w:eastAsia="en-US"/>
          <w14:ligatures w14:val="standardContextual"/>
        </w:rPr>
        <w:t xml:space="preserve"> </w:t>
      </w:r>
    </w:p>
    <w:p w14:paraId="3B8EEF8D" w14:textId="77777777" w:rsidR="00477AAD" w:rsidRPr="00477AAD" w:rsidRDefault="00477AAD" w:rsidP="00477AAD">
      <w:pPr>
        <w:spacing w:after="160" w:line="259" w:lineRule="auto"/>
        <w:ind w:left="720"/>
        <w:contextualSpacing/>
        <w:rPr>
          <w:rFonts w:asciiTheme="minorHAnsi" w:eastAsiaTheme="minorHAnsi" w:hAnsiTheme="minorHAnsi" w:cstheme="minorBidi"/>
          <w:kern w:val="2"/>
          <w:lang w:val="en-GB" w:eastAsia="en-US"/>
          <w14:ligatures w14:val="standardContextual"/>
        </w:rPr>
      </w:pPr>
    </w:p>
    <w:p w14:paraId="73EA5354" w14:textId="51483DF1" w:rsidR="00477AAD" w:rsidRDefault="00477AAD" w:rsidP="00477AAD">
      <w:pPr>
        <w:numPr>
          <w:ilvl w:val="0"/>
          <w:numId w:val="51"/>
        </w:numPr>
        <w:spacing w:after="160" w:line="259" w:lineRule="auto"/>
        <w:contextualSpacing/>
        <w:rPr>
          <w:rFonts w:asciiTheme="minorHAnsi" w:eastAsiaTheme="minorHAnsi" w:hAnsiTheme="minorHAnsi" w:cstheme="minorBidi"/>
          <w:kern w:val="2"/>
          <w:lang w:val="en-GB" w:eastAsia="en-US"/>
          <w14:ligatures w14:val="standardContextual"/>
        </w:rPr>
      </w:pPr>
      <w:r w:rsidRPr="00477AAD">
        <w:rPr>
          <w:rFonts w:asciiTheme="minorHAnsi" w:eastAsiaTheme="minorHAnsi" w:hAnsiTheme="minorHAnsi" w:cstheme="minorBidi"/>
          <w:kern w:val="2"/>
          <w:lang w:val="en-GB" w:eastAsia="en-US"/>
          <w14:ligatures w14:val="standardContextual"/>
        </w:rPr>
        <w:t xml:space="preserve">CFRF. (2021). </w:t>
      </w:r>
      <w:r w:rsidRPr="00477AAD">
        <w:rPr>
          <w:rFonts w:asciiTheme="minorHAnsi" w:eastAsiaTheme="minorHAnsi" w:hAnsiTheme="minorHAnsi" w:cstheme="minorBidi"/>
          <w:i/>
          <w:iCs/>
          <w:kern w:val="2"/>
          <w:lang w:val="en-GB" w:eastAsia="en-US"/>
          <w14:ligatures w14:val="standardContextual"/>
        </w:rPr>
        <w:t>Climate risk appetite statements</w:t>
      </w:r>
      <w:r w:rsidRPr="00477AAD">
        <w:rPr>
          <w:rFonts w:asciiTheme="minorHAnsi" w:eastAsiaTheme="minorHAnsi" w:hAnsiTheme="minorHAnsi" w:cstheme="minorBidi"/>
          <w:kern w:val="2"/>
          <w:lang w:val="en-GB" w:eastAsia="en-US"/>
          <w14:ligatures w14:val="standardContextual"/>
        </w:rPr>
        <w:t xml:space="preserve">. Retrieved from </w:t>
      </w:r>
      <w:hyperlink r:id="rId46" w:history="1">
        <w:r w:rsidRPr="00477AAD">
          <w:rPr>
            <w:rStyle w:val="Hyperlink"/>
            <w:rFonts w:asciiTheme="minorHAnsi" w:eastAsiaTheme="minorHAnsi" w:hAnsiTheme="minorHAnsi" w:cstheme="minorBidi"/>
            <w:kern w:val="2"/>
            <w:lang w:val="en-GB" w:eastAsia="en-US"/>
            <w14:ligatures w14:val="standardContextual"/>
          </w:rPr>
          <w:t>https://www.bankofengland.co.uk/climate-change</w:t>
        </w:r>
      </w:hyperlink>
      <w:r w:rsidRPr="00477AAD">
        <w:rPr>
          <w:rFonts w:asciiTheme="minorHAnsi" w:eastAsiaTheme="minorHAnsi" w:hAnsiTheme="minorHAnsi" w:cstheme="minorBidi"/>
          <w:kern w:val="2"/>
          <w:lang w:val="en-GB" w:eastAsia="en-US"/>
          <w14:ligatures w14:val="standardContextual"/>
        </w:rPr>
        <w:t xml:space="preserve"> </w:t>
      </w:r>
    </w:p>
    <w:p w14:paraId="02ABDA9A" w14:textId="77777777" w:rsidR="00477AAD" w:rsidRDefault="00477AAD" w:rsidP="00477AAD">
      <w:pPr>
        <w:pStyle w:val="ListParagraph"/>
        <w:rPr>
          <w:rFonts w:asciiTheme="minorHAnsi" w:eastAsiaTheme="minorHAnsi" w:hAnsiTheme="minorHAnsi" w:cstheme="minorBidi"/>
          <w:kern w:val="2"/>
          <w:lang w:val="en-GB" w:eastAsia="en-US"/>
          <w14:ligatures w14:val="standardContextual"/>
        </w:rPr>
      </w:pPr>
    </w:p>
    <w:p w14:paraId="7F8BBDA4" w14:textId="77777777" w:rsidR="00477AAD" w:rsidRDefault="00477AAD" w:rsidP="00477AAD">
      <w:pPr>
        <w:numPr>
          <w:ilvl w:val="0"/>
          <w:numId w:val="51"/>
        </w:numPr>
        <w:spacing w:after="160" w:line="259" w:lineRule="auto"/>
        <w:contextualSpacing/>
        <w:rPr>
          <w:rFonts w:asciiTheme="minorHAnsi" w:eastAsiaTheme="minorHAnsi" w:hAnsiTheme="minorHAnsi" w:cstheme="minorBidi"/>
          <w:kern w:val="2"/>
          <w:lang w:val="en-GB" w:eastAsia="en-US"/>
          <w14:ligatures w14:val="standardContextual"/>
        </w:rPr>
      </w:pPr>
      <w:r w:rsidRPr="00477AAD">
        <w:rPr>
          <w:rFonts w:asciiTheme="minorHAnsi" w:eastAsiaTheme="minorHAnsi" w:hAnsiTheme="minorHAnsi" w:cstheme="minorBidi"/>
          <w:kern w:val="2"/>
          <w:lang w:val="en-GB" w:eastAsia="en-US"/>
          <w14:ligatures w14:val="standardContextual"/>
        </w:rPr>
        <w:t xml:space="preserve">European Banking Authority. (2022). </w:t>
      </w:r>
      <w:r w:rsidRPr="00477AAD">
        <w:rPr>
          <w:rFonts w:asciiTheme="minorHAnsi" w:eastAsiaTheme="minorHAnsi" w:hAnsiTheme="minorHAnsi" w:cstheme="minorBidi"/>
          <w:i/>
          <w:iCs/>
          <w:kern w:val="2"/>
          <w:lang w:val="en-GB" w:eastAsia="en-US"/>
          <w14:ligatures w14:val="standardContextual"/>
        </w:rPr>
        <w:t>Final report draft implementing technical standards (ITS) on prudential disclosures on ESG</w:t>
      </w:r>
      <w:r w:rsidRPr="00477AAD">
        <w:rPr>
          <w:rFonts w:asciiTheme="minorHAnsi" w:eastAsiaTheme="minorHAnsi" w:hAnsiTheme="minorHAnsi" w:cstheme="minorBidi"/>
          <w:kern w:val="2"/>
          <w:lang w:val="en-GB" w:eastAsia="en-US"/>
          <w14:ligatures w14:val="standardContextual"/>
        </w:rPr>
        <w:t xml:space="preserve">. Retrieved from </w:t>
      </w:r>
      <w:hyperlink r:id="rId47" w:tgtFrame="_new" w:history="1">
        <w:r w:rsidRPr="00477AAD">
          <w:rPr>
            <w:rFonts w:asciiTheme="minorHAnsi" w:eastAsiaTheme="minorHAnsi" w:hAnsiTheme="minorHAnsi" w:cstheme="minorBidi"/>
            <w:color w:val="0563C1" w:themeColor="hyperlink"/>
            <w:kern w:val="2"/>
            <w:u w:val="single"/>
            <w:lang w:val="en-GB" w:eastAsia="en-US"/>
            <w14:ligatures w14:val="standardContextual"/>
          </w:rPr>
          <w:t>https://www.eba.europa.eu</w:t>
        </w:r>
      </w:hyperlink>
    </w:p>
    <w:p w14:paraId="2377D72B" w14:textId="77777777" w:rsidR="00477AAD" w:rsidRDefault="00477AAD" w:rsidP="00477AAD">
      <w:pPr>
        <w:pStyle w:val="ListParagraph"/>
        <w:rPr>
          <w:rFonts w:asciiTheme="minorHAnsi" w:eastAsiaTheme="minorHAnsi" w:hAnsiTheme="minorHAnsi" w:cstheme="minorBidi"/>
          <w:kern w:val="2"/>
          <w:lang w:val="en-GB" w:eastAsia="en-US"/>
          <w14:ligatures w14:val="standardContextual"/>
        </w:rPr>
      </w:pPr>
    </w:p>
    <w:p w14:paraId="2EF72DCC" w14:textId="77777777" w:rsidR="00477AAD" w:rsidRDefault="00477AAD" w:rsidP="00477AAD">
      <w:pPr>
        <w:numPr>
          <w:ilvl w:val="0"/>
          <w:numId w:val="51"/>
        </w:numPr>
        <w:spacing w:after="160" w:line="259" w:lineRule="auto"/>
        <w:contextualSpacing/>
        <w:rPr>
          <w:rFonts w:asciiTheme="minorHAnsi" w:eastAsiaTheme="minorHAnsi" w:hAnsiTheme="minorHAnsi" w:cstheme="minorBidi"/>
          <w:kern w:val="2"/>
          <w:lang w:val="en-GB" w:eastAsia="en-US"/>
          <w14:ligatures w14:val="standardContextual"/>
        </w:rPr>
      </w:pPr>
      <w:r w:rsidRPr="00477AAD">
        <w:rPr>
          <w:rFonts w:asciiTheme="minorHAnsi" w:eastAsiaTheme="minorHAnsi" w:hAnsiTheme="minorHAnsi" w:cstheme="minorBidi"/>
          <w:kern w:val="2"/>
          <w:lang w:val="en-GB" w:eastAsia="en-US"/>
          <w14:ligatures w14:val="standardContextual"/>
        </w:rPr>
        <w:t xml:space="preserve">European Central Bank (ECB). (2022). </w:t>
      </w:r>
      <w:r w:rsidRPr="00477AAD">
        <w:rPr>
          <w:rFonts w:asciiTheme="minorHAnsi" w:eastAsiaTheme="minorHAnsi" w:hAnsiTheme="minorHAnsi" w:cstheme="minorBidi"/>
          <w:i/>
          <w:iCs/>
          <w:kern w:val="2"/>
          <w:lang w:val="en-GB" w:eastAsia="en-US"/>
          <w14:ligatures w14:val="standardContextual"/>
        </w:rPr>
        <w:t>Good practices for climate-related and environmental risk management</w:t>
      </w:r>
      <w:r w:rsidRPr="00477AAD">
        <w:rPr>
          <w:rFonts w:asciiTheme="minorHAnsi" w:eastAsiaTheme="minorHAnsi" w:hAnsiTheme="minorHAnsi" w:cstheme="minorBidi"/>
          <w:kern w:val="2"/>
          <w:lang w:val="en-GB" w:eastAsia="en-US"/>
          <w14:ligatures w14:val="standardContextual"/>
        </w:rPr>
        <w:t xml:space="preserve">. Retrieved from </w:t>
      </w:r>
      <w:hyperlink r:id="rId48" w:tgtFrame="_new" w:history="1">
        <w:r w:rsidRPr="00477AAD">
          <w:rPr>
            <w:rFonts w:asciiTheme="minorHAnsi" w:eastAsiaTheme="minorHAnsi" w:hAnsiTheme="minorHAnsi" w:cstheme="minorBidi"/>
            <w:color w:val="0563C1" w:themeColor="hyperlink"/>
            <w:kern w:val="2"/>
            <w:u w:val="single"/>
            <w:lang w:val="en-GB" w:eastAsia="en-US"/>
            <w14:ligatures w14:val="standardContextual"/>
          </w:rPr>
          <w:t>https://www.ecb.europa.eu</w:t>
        </w:r>
      </w:hyperlink>
    </w:p>
    <w:p w14:paraId="3B9F2243" w14:textId="77777777" w:rsidR="00477AAD" w:rsidRDefault="00477AAD" w:rsidP="00477AAD">
      <w:pPr>
        <w:pStyle w:val="ListParagraph"/>
        <w:rPr>
          <w:rFonts w:asciiTheme="minorHAnsi" w:eastAsiaTheme="minorHAnsi" w:hAnsiTheme="minorHAnsi" w:cstheme="minorBidi"/>
          <w:kern w:val="2"/>
          <w:lang w:val="en-GB" w:eastAsia="en-US"/>
          <w14:ligatures w14:val="standardContextual"/>
        </w:rPr>
      </w:pPr>
    </w:p>
    <w:p w14:paraId="5BA4B044" w14:textId="77777777" w:rsidR="00477AAD" w:rsidRDefault="00477AAD" w:rsidP="00477AAD">
      <w:pPr>
        <w:numPr>
          <w:ilvl w:val="0"/>
          <w:numId w:val="51"/>
        </w:numPr>
        <w:spacing w:after="160" w:line="259" w:lineRule="auto"/>
        <w:contextualSpacing/>
        <w:rPr>
          <w:rFonts w:asciiTheme="minorHAnsi" w:eastAsiaTheme="minorHAnsi" w:hAnsiTheme="minorHAnsi" w:cstheme="minorBidi"/>
          <w:kern w:val="2"/>
          <w:lang w:val="en-GB" w:eastAsia="en-US"/>
          <w14:ligatures w14:val="standardContextual"/>
        </w:rPr>
      </w:pPr>
      <w:r w:rsidRPr="00477AAD">
        <w:rPr>
          <w:rFonts w:asciiTheme="minorHAnsi" w:eastAsiaTheme="minorHAnsi" w:hAnsiTheme="minorHAnsi" w:cstheme="minorBidi"/>
          <w:kern w:val="2"/>
          <w:lang w:val="en-GB" w:eastAsia="en-US"/>
          <w14:ligatures w14:val="standardContextual"/>
        </w:rPr>
        <w:t xml:space="preserve">GFANZ. (2023). </w:t>
      </w:r>
      <w:r w:rsidRPr="00477AAD">
        <w:rPr>
          <w:rFonts w:asciiTheme="minorHAnsi" w:eastAsiaTheme="minorHAnsi" w:hAnsiTheme="minorHAnsi" w:cstheme="minorBidi"/>
          <w:i/>
          <w:iCs/>
          <w:kern w:val="2"/>
          <w:lang w:val="en-GB" w:eastAsia="en-US"/>
          <w14:ligatures w14:val="standardContextual"/>
        </w:rPr>
        <w:t>Recommendations and guidance on financial institution net-zero transition plans</w:t>
      </w:r>
      <w:r w:rsidRPr="00477AAD">
        <w:rPr>
          <w:rFonts w:asciiTheme="minorHAnsi" w:eastAsiaTheme="minorHAnsi" w:hAnsiTheme="minorHAnsi" w:cstheme="minorBidi"/>
          <w:kern w:val="2"/>
          <w:lang w:val="en-GB" w:eastAsia="en-US"/>
          <w14:ligatures w14:val="standardContextual"/>
        </w:rPr>
        <w:t xml:space="preserve">. Retrieved from </w:t>
      </w:r>
      <w:hyperlink r:id="rId49" w:tgtFrame="_new" w:history="1">
        <w:r w:rsidRPr="00477AAD">
          <w:rPr>
            <w:rFonts w:asciiTheme="minorHAnsi" w:eastAsiaTheme="minorHAnsi" w:hAnsiTheme="minorHAnsi" w:cstheme="minorBidi"/>
            <w:color w:val="0563C1" w:themeColor="hyperlink"/>
            <w:kern w:val="2"/>
            <w:u w:val="single"/>
            <w:lang w:val="en-GB" w:eastAsia="en-US"/>
            <w14:ligatures w14:val="standardContextual"/>
          </w:rPr>
          <w:t>https://www.gfanz.org</w:t>
        </w:r>
      </w:hyperlink>
    </w:p>
    <w:p w14:paraId="5C03A7AE" w14:textId="77777777" w:rsidR="00477AAD" w:rsidRDefault="00477AAD" w:rsidP="00477AAD">
      <w:pPr>
        <w:pStyle w:val="ListParagraph"/>
        <w:rPr>
          <w:rFonts w:asciiTheme="minorHAnsi" w:eastAsiaTheme="minorHAnsi" w:hAnsiTheme="minorHAnsi" w:cstheme="minorBidi"/>
          <w:kern w:val="2"/>
          <w:lang w:val="en-GB" w:eastAsia="en-US"/>
          <w14:ligatures w14:val="standardContextual"/>
        </w:rPr>
      </w:pPr>
    </w:p>
    <w:p w14:paraId="580B13A4" w14:textId="05B34CE7" w:rsidR="00477AAD" w:rsidRDefault="00477AAD" w:rsidP="00477AAD">
      <w:pPr>
        <w:numPr>
          <w:ilvl w:val="0"/>
          <w:numId w:val="51"/>
        </w:numPr>
        <w:spacing w:after="160" w:line="259" w:lineRule="auto"/>
        <w:contextualSpacing/>
        <w:rPr>
          <w:rFonts w:asciiTheme="minorHAnsi" w:eastAsiaTheme="minorHAnsi" w:hAnsiTheme="minorHAnsi" w:cstheme="minorBidi"/>
          <w:kern w:val="2"/>
          <w:lang w:val="en-GB" w:eastAsia="en-US"/>
          <w14:ligatures w14:val="standardContextual"/>
        </w:rPr>
      </w:pPr>
      <w:r w:rsidRPr="00477AAD">
        <w:rPr>
          <w:rFonts w:asciiTheme="minorHAnsi" w:eastAsiaTheme="minorHAnsi" w:hAnsiTheme="minorHAnsi" w:cstheme="minorBidi"/>
          <w:kern w:val="2"/>
          <w:lang w:val="en-GB" w:eastAsia="en-US"/>
          <w14:ligatures w14:val="standardContextual"/>
        </w:rPr>
        <w:t xml:space="preserve">Barclays. (2022). </w:t>
      </w:r>
      <w:r w:rsidRPr="00477AAD">
        <w:rPr>
          <w:rFonts w:asciiTheme="minorHAnsi" w:eastAsiaTheme="minorHAnsi" w:hAnsiTheme="minorHAnsi" w:cstheme="minorBidi"/>
          <w:i/>
          <w:iCs/>
          <w:kern w:val="2"/>
          <w:lang w:val="en-GB" w:eastAsia="en-US"/>
          <w14:ligatures w14:val="standardContextual"/>
        </w:rPr>
        <w:t>Climate strategy, targets and progress</w:t>
      </w:r>
      <w:r w:rsidRPr="00477AAD">
        <w:rPr>
          <w:rFonts w:asciiTheme="minorHAnsi" w:eastAsiaTheme="minorHAnsi" w:hAnsiTheme="minorHAnsi" w:cstheme="minorBidi"/>
          <w:kern w:val="2"/>
          <w:lang w:val="en-GB" w:eastAsia="en-US"/>
          <w14:ligatures w14:val="standardContextual"/>
        </w:rPr>
        <w:t xml:space="preserve">. Retrieved from </w:t>
      </w:r>
      <w:hyperlink r:id="rId50" w:history="1">
        <w:r w:rsidRPr="00477AAD">
          <w:rPr>
            <w:rStyle w:val="Hyperlink"/>
            <w:rFonts w:asciiTheme="minorHAnsi" w:eastAsiaTheme="minorHAnsi" w:hAnsiTheme="minorHAnsi" w:cstheme="minorBidi"/>
            <w:kern w:val="2"/>
            <w:lang w:val="en-GB" w:eastAsia="en-US"/>
            <w14:ligatures w14:val="standardContextual"/>
          </w:rPr>
          <w:t>https://home.barclays/sustainability</w:t>
        </w:r>
      </w:hyperlink>
    </w:p>
    <w:p w14:paraId="4A99EBBF" w14:textId="77777777" w:rsidR="00477AAD" w:rsidRDefault="00477AAD" w:rsidP="00477AAD">
      <w:pPr>
        <w:pStyle w:val="ListParagraph"/>
        <w:rPr>
          <w:rFonts w:asciiTheme="minorHAnsi" w:eastAsiaTheme="minorHAnsi" w:hAnsiTheme="minorHAnsi" w:cstheme="minorBidi"/>
          <w:kern w:val="2"/>
          <w:lang w:val="en-GB" w:eastAsia="en-US"/>
          <w14:ligatures w14:val="standardContextual"/>
        </w:rPr>
      </w:pPr>
    </w:p>
    <w:p w14:paraId="3BFD6CD8" w14:textId="77777777" w:rsidR="00477AAD" w:rsidRDefault="00477AAD" w:rsidP="00477AAD">
      <w:pPr>
        <w:numPr>
          <w:ilvl w:val="0"/>
          <w:numId w:val="51"/>
        </w:numPr>
        <w:spacing w:after="160" w:line="259" w:lineRule="auto"/>
        <w:contextualSpacing/>
        <w:rPr>
          <w:rFonts w:asciiTheme="minorHAnsi" w:eastAsiaTheme="minorHAnsi" w:hAnsiTheme="minorHAnsi" w:cstheme="minorBidi"/>
          <w:kern w:val="2"/>
          <w:lang w:val="en-GB" w:eastAsia="en-US"/>
          <w14:ligatures w14:val="standardContextual"/>
        </w:rPr>
      </w:pPr>
      <w:r w:rsidRPr="00477AAD">
        <w:rPr>
          <w:rFonts w:asciiTheme="minorHAnsi" w:eastAsiaTheme="minorHAnsi" w:hAnsiTheme="minorHAnsi" w:cstheme="minorBidi"/>
          <w:kern w:val="2"/>
          <w:lang w:val="en-GB" w:eastAsia="en-US"/>
          <w14:ligatures w14:val="standardContextual"/>
        </w:rPr>
        <w:t xml:space="preserve">BBVA. (2022). </w:t>
      </w:r>
      <w:r w:rsidRPr="00477AAD">
        <w:rPr>
          <w:rFonts w:asciiTheme="minorHAnsi" w:eastAsiaTheme="minorHAnsi" w:hAnsiTheme="minorHAnsi" w:cstheme="minorBidi"/>
          <w:i/>
          <w:iCs/>
          <w:kern w:val="2"/>
          <w:lang w:val="en-GB" w:eastAsia="en-US"/>
          <w14:ligatures w14:val="standardContextual"/>
        </w:rPr>
        <w:t>TCFD report</w:t>
      </w:r>
      <w:r w:rsidRPr="00477AAD">
        <w:rPr>
          <w:rFonts w:asciiTheme="minorHAnsi" w:eastAsiaTheme="minorHAnsi" w:hAnsiTheme="minorHAnsi" w:cstheme="minorBidi"/>
          <w:kern w:val="2"/>
          <w:lang w:val="en-GB" w:eastAsia="en-US"/>
          <w14:ligatures w14:val="standardContextual"/>
        </w:rPr>
        <w:t xml:space="preserve">. Retrieved from </w:t>
      </w:r>
      <w:hyperlink r:id="rId51" w:tgtFrame="_new" w:history="1">
        <w:r w:rsidRPr="00477AAD">
          <w:rPr>
            <w:rFonts w:asciiTheme="minorHAnsi" w:eastAsiaTheme="minorHAnsi" w:hAnsiTheme="minorHAnsi" w:cstheme="minorBidi"/>
            <w:color w:val="0563C1" w:themeColor="hyperlink"/>
            <w:kern w:val="2"/>
            <w:u w:val="single"/>
            <w:lang w:val="en-GB" w:eastAsia="en-US"/>
            <w14:ligatures w14:val="standardContextual"/>
          </w:rPr>
          <w:t>https://www.bbva.com</w:t>
        </w:r>
      </w:hyperlink>
    </w:p>
    <w:p w14:paraId="769E2DA3" w14:textId="77777777" w:rsidR="00477AAD" w:rsidRDefault="00477AAD" w:rsidP="00477AAD">
      <w:pPr>
        <w:pStyle w:val="ListParagraph"/>
        <w:rPr>
          <w:rFonts w:asciiTheme="minorHAnsi" w:eastAsiaTheme="minorHAnsi" w:hAnsiTheme="minorHAnsi" w:cstheme="minorBidi"/>
          <w:kern w:val="2"/>
          <w:lang w:val="en-GB" w:eastAsia="en-US"/>
          <w14:ligatures w14:val="standardContextual"/>
        </w:rPr>
      </w:pPr>
    </w:p>
    <w:p w14:paraId="04457463" w14:textId="77777777" w:rsidR="00477AAD" w:rsidRDefault="00477AAD" w:rsidP="00477AAD">
      <w:pPr>
        <w:numPr>
          <w:ilvl w:val="0"/>
          <w:numId w:val="51"/>
        </w:numPr>
        <w:spacing w:after="160" w:line="259" w:lineRule="auto"/>
        <w:contextualSpacing/>
        <w:rPr>
          <w:rFonts w:asciiTheme="minorHAnsi" w:eastAsiaTheme="minorHAnsi" w:hAnsiTheme="minorHAnsi" w:cstheme="minorBidi"/>
          <w:kern w:val="2"/>
          <w:lang w:val="en-GB" w:eastAsia="en-US"/>
          <w14:ligatures w14:val="standardContextual"/>
        </w:rPr>
      </w:pPr>
      <w:r w:rsidRPr="00477AAD">
        <w:rPr>
          <w:rFonts w:asciiTheme="minorHAnsi" w:eastAsiaTheme="minorHAnsi" w:hAnsiTheme="minorHAnsi" w:cstheme="minorBidi"/>
          <w:kern w:val="2"/>
          <w:lang w:val="en-GB" w:eastAsia="en-US"/>
          <w14:ligatures w14:val="standardContextual"/>
        </w:rPr>
        <w:t xml:space="preserve">BNP Paribas. (2022). </w:t>
      </w:r>
      <w:r w:rsidRPr="00477AAD">
        <w:rPr>
          <w:rFonts w:asciiTheme="minorHAnsi" w:eastAsiaTheme="minorHAnsi" w:hAnsiTheme="minorHAnsi" w:cstheme="minorBidi"/>
          <w:i/>
          <w:iCs/>
          <w:kern w:val="2"/>
          <w:lang w:val="en-GB" w:eastAsia="en-US"/>
          <w14:ligatures w14:val="standardContextual"/>
        </w:rPr>
        <w:t>Climate report</w:t>
      </w:r>
      <w:r w:rsidRPr="00477AAD">
        <w:rPr>
          <w:rFonts w:asciiTheme="minorHAnsi" w:eastAsiaTheme="minorHAnsi" w:hAnsiTheme="minorHAnsi" w:cstheme="minorBidi"/>
          <w:kern w:val="2"/>
          <w:lang w:val="en-GB" w:eastAsia="en-US"/>
          <w14:ligatures w14:val="standardContextual"/>
        </w:rPr>
        <w:t xml:space="preserve">. Retrieved from </w:t>
      </w:r>
      <w:hyperlink r:id="rId52" w:tgtFrame="_new" w:history="1">
        <w:r w:rsidRPr="00477AAD">
          <w:rPr>
            <w:rFonts w:asciiTheme="minorHAnsi" w:eastAsiaTheme="minorHAnsi" w:hAnsiTheme="minorHAnsi" w:cstheme="minorBidi"/>
            <w:color w:val="0563C1" w:themeColor="hyperlink"/>
            <w:kern w:val="2"/>
            <w:u w:val="single"/>
            <w:lang w:val="en-GB" w:eastAsia="en-US"/>
            <w14:ligatures w14:val="standardContextual"/>
          </w:rPr>
          <w:t>https://group.bnpparibas</w:t>
        </w:r>
      </w:hyperlink>
    </w:p>
    <w:p w14:paraId="71CEDA59" w14:textId="77777777" w:rsidR="00477AAD" w:rsidRDefault="00477AAD" w:rsidP="00477AAD">
      <w:pPr>
        <w:pStyle w:val="ListParagraph"/>
        <w:rPr>
          <w:rFonts w:asciiTheme="minorHAnsi" w:eastAsiaTheme="minorHAnsi" w:hAnsiTheme="minorHAnsi" w:cstheme="minorBidi"/>
          <w:kern w:val="2"/>
          <w:lang w:val="en-GB" w:eastAsia="en-US"/>
          <w14:ligatures w14:val="standardContextual"/>
        </w:rPr>
      </w:pPr>
    </w:p>
    <w:p w14:paraId="778EAC3D" w14:textId="77777777" w:rsidR="00477AAD" w:rsidRDefault="00477AAD" w:rsidP="00477AAD">
      <w:pPr>
        <w:numPr>
          <w:ilvl w:val="0"/>
          <w:numId w:val="51"/>
        </w:numPr>
        <w:spacing w:after="160" w:line="259" w:lineRule="auto"/>
        <w:contextualSpacing/>
        <w:rPr>
          <w:rFonts w:asciiTheme="minorHAnsi" w:eastAsiaTheme="minorHAnsi" w:hAnsiTheme="minorHAnsi" w:cstheme="minorBidi"/>
          <w:kern w:val="2"/>
          <w:lang w:val="en-GB" w:eastAsia="en-US"/>
          <w14:ligatures w14:val="standardContextual"/>
        </w:rPr>
      </w:pPr>
      <w:r w:rsidRPr="00477AAD">
        <w:rPr>
          <w:rFonts w:asciiTheme="minorHAnsi" w:eastAsiaTheme="minorHAnsi" w:hAnsiTheme="minorHAnsi" w:cstheme="minorBidi"/>
          <w:kern w:val="2"/>
          <w:lang w:val="en-GB" w:eastAsia="en-US"/>
          <w14:ligatures w14:val="standardContextual"/>
        </w:rPr>
        <w:t xml:space="preserve">Citi. (2022). </w:t>
      </w:r>
      <w:r w:rsidRPr="00477AAD">
        <w:rPr>
          <w:rFonts w:asciiTheme="minorHAnsi" w:eastAsiaTheme="minorHAnsi" w:hAnsiTheme="minorHAnsi" w:cstheme="minorBidi"/>
          <w:i/>
          <w:iCs/>
          <w:kern w:val="2"/>
          <w:lang w:val="en-GB" w:eastAsia="en-US"/>
          <w14:ligatures w14:val="standardContextual"/>
        </w:rPr>
        <w:t>TCFD report</w:t>
      </w:r>
      <w:r w:rsidRPr="00477AAD">
        <w:rPr>
          <w:rFonts w:asciiTheme="minorHAnsi" w:eastAsiaTheme="minorHAnsi" w:hAnsiTheme="minorHAnsi" w:cstheme="minorBidi"/>
          <w:kern w:val="2"/>
          <w:lang w:val="en-GB" w:eastAsia="en-US"/>
          <w14:ligatures w14:val="standardContextual"/>
        </w:rPr>
        <w:t xml:space="preserve">. Retrieved from </w:t>
      </w:r>
      <w:hyperlink r:id="rId53" w:tgtFrame="_new" w:history="1">
        <w:r w:rsidRPr="00477AAD">
          <w:rPr>
            <w:rFonts w:asciiTheme="minorHAnsi" w:eastAsiaTheme="minorHAnsi" w:hAnsiTheme="minorHAnsi" w:cstheme="minorBidi"/>
            <w:color w:val="0563C1" w:themeColor="hyperlink"/>
            <w:kern w:val="2"/>
            <w:u w:val="single"/>
            <w:lang w:val="en-GB" w:eastAsia="en-US"/>
            <w14:ligatures w14:val="standardContextual"/>
          </w:rPr>
          <w:t>https://www.citigroup.com</w:t>
        </w:r>
      </w:hyperlink>
    </w:p>
    <w:p w14:paraId="13565297" w14:textId="77777777" w:rsidR="00477AAD" w:rsidRPr="00477AAD" w:rsidRDefault="00477AAD" w:rsidP="00477AAD">
      <w:pPr>
        <w:spacing w:after="160" w:line="259" w:lineRule="auto"/>
        <w:contextualSpacing/>
        <w:rPr>
          <w:rFonts w:asciiTheme="minorHAnsi" w:eastAsiaTheme="minorHAnsi" w:hAnsiTheme="minorHAnsi" w:cstheme="minorBidi"/>
          <w:kern w:val="2"/>
          <w:lang w:val="en-GB" w:eastAsia="en-US"/>
          <w14:ligatures w14:val="standardContextual"/>
        </w:rPr>
      </w:pPr>
    </w:p>
    <w:p w14:paraId="37729BCB" w14:textId="77777777" w:rsidR="00477AAD" w:rsidRDefault="00477AAD" w:rsidP="00477AAD">
      <w:pPr>
        <w:numPr>
          <w:ilvl w:val="0"/>
          <w:numId w:val="51"/>
        </w:numPr>
        <w:spacing w:after="160" w:line="259" w:lineRule="auto"/>
        <w:contextualSpacing/>
        <w:rPr>
          <w:rFonts w:asciiTheme="minorHAnsi" w:eastAsiaTheme="minorHAnsi" w:hAnsiTheme="minorHAnsi" w:cstheme="minorBidi"/>
          <w:kern w:val="2"/>
          <w:lang w:val="en-GB" w:eastAsia="en-US"/>
          <w14:ligatures w14:val="standardContextual"/>
        </w:rPr>
      </w:pPr>
      <w:r w:rsidRPr="00477AAD">
        <w:rPr>
          <w:rFonts w:asciiTheme="minorHAnsi" w:eastAsiaTheme="minorHAnsi" w:hAnsiTheme="minorHAnsi" w:cstheme="minorBidi"/>
          <w:kern w:val="2"/>
          <w:lang w:val="en-GB" w:eastAsia="en-US"/>
          <w14:ligatures w14:val="standardContextual"/>
        </w:rPr>
        <w:t xml:space="preserve">ING. (2021). </w:t>
      </w:r>
      <w:r w:rsidRPr="00477AAD">
        <w:rPr>
          <w:rFonts w:asciiTheme="minorHAnsi" w:eastAsiaTheme="minorHAnsi" w:hAnsiTheme="minorHAnsi" w:cstheme="minorBidi"/>
          <w:i/>
          <w:iCs/>
          <w:kern w:val="2"/>
          <w:lang w:val="en-GB" w:eastAsia="en-US"/>
          <w14:ligatures w14:val="standardContextual"/>
        </w:rPr>
        <w:t>Climate report</w:t>
      </w:r>
      <w:r w:rsidRPr="00477AAD">
        <w:rPr>
          <w:rFonts w:asciiTheme="minorHAnsi" w:eastAsiaTheme="minorHAnsi" w:hAnsiTheme="minorHAnsi" w:cstheme="minorBidi"/>
          <w:kern w:val="2"/>
          <w:lang w:val="en-GB" w:eastAsia="en-US"/>
          <w14:ligatures w14:val="standardContextual"/>
        </w:rPr>
        <w:t xml:space="preserve">. Retrieved from </w:t>
      </w:r>
      <w:hyperlink r:id="rId54" w:tgtFrame="_new" w:history="1">
        <w:r w:rsidRPr="00477AAD">
          <w:rPr>
            <w:rFonts w:asciiTheme="minorHAnsi" w:eastAsiaTheme="minorHAnsi" w:hAnsiTheme="minorHAnsi" w:cstheme="minorBidi"/>
            <w:color w:val="0563C1" w:themeColor="hyperlink"/>
            <w:kern w:val="2"/>
            <w:u w:val="single"/>
            <w:lang w:val="en-GB" w:eastAsia="en-US"/>
            <w14:ligatures w14:val="standardContextual"/>
          </w:rPr>
          <w:t>https://www.ing.com</w:t>
        </w:r>
      </w:hyperlink>
    </w:p>
    <w:p w14:paraId="503B291D" w14:textId="77777777" w:rsidR="00477AAD" w:rsidRPr="00477AAD" w:rsidRDefault="00477AAD" w:rsidP="00477AAD">
      <w:pPr>
        <w:spacing w:after="160" w:line="259" w:lineRule="auto"/>
        <w:ind w:left="720"/>
        <w:contextualSpacing/>
        <w:rPr>
          <w:rFonts w:asciiTheme="minorHAnsi" w:eastAsiaTheme="minorHAnsi" w:hAnsiTheme="minorHAnsi" w:cstheme="minorBidi"/>
          <w:kern w:val="2"/>
          <w:lang w:val="en-GB" w:eastAsia="en-US"/>
          <w14:ligatures w14:val="standardContextual"/>
        </w:rPr>
      </w:pPr>
    </w:p>
    <w:p w14:paraId="42CF897F" w14:textId="77777777" w:rsidR="00477AAD" w:rsidRDefault="00477AAD" w:rsidP="00477AAD">
      <w:pPr>
        <w:numPr>
          <w:ilvl w:val="0"/>
          <w:numId w:val="51"/>
        </w:numPr>
        <w:spacing w:after="160" w:line="259" w:lineRule="auto"/>
        <w:contextualSpacing/>
        <w:rPr>
          <w:rFonts w:asciiTheme="minorHAnsi" w:eastAsiaTheme="minorHAnsi" w:hAnsiTheme="minorHAnsi" w:cstheme="minorBidi"/>
          <w:kern w:val="2"/>
          <w:lang w:val="en-GB" w:eastAsia="en-US"/>
          <w14:ligatures w14:val="standardContextual"/>
        </w:rPr>
      </w:pPr>
      <w:r w:rsidRPr="00477AAD">
        <w:rPr>
          <w:rFonts w:asciiTheme="minorHAnsi" w:eastAsiaTheme="minorHAnsi" w:hAnsiTheme="minorHAnsi" w:cstheme="minorBidi"/>
          <w:kern w:val="2"/>
          <w:lang w:val="en-GB" w:eastAsia="en-US"/>
          <w14:ligatures w14:val="standardContextual"/>
        </w:rPr>
        <w:t xml:space="preserve">TD Bank. (2022). </w:t>
      </w:r>
      <w:r w:rsidRPr="00477AAD">
        <w:rPr>
          <w:rFonts w:asciiTheme="minorHAnsi" w:eastAsiaTheme="minorHAnsi" w:hAnsiTheme="minorHAnsi" w:cstheme="minorBidi"/>
          <w:i/>
          <w:iCs/>
          <w:kern w:val="2"/>
          <w:lang w:val="en-GB" w:eastAsia="en-US"/>
          <w14:ligatures w14:val="standardContextual"/>
        </w:rPr>
        <w:t>Climate action report</w:t>
      </w:r>
      <w:r w:rsidRPr="00477AAD">
        <w:rPr>
          <w:rFonts w:asciiTheme="minorHAnsi" w:eastAsiaTheme="minorHAnsi" w:hAnsiTheme="minorHAnsi" w:cstheme="minorBidi"/>
          <w:kern w:val="2"/>
          <w:lang w:val="en-GB" w:eastAsia="en-US"/>
          <w14:ligatures w14:val="standardContextual"/>
        </w:rPr>
        <w:t xml:space="preserve">. Retrieved from </w:t>
      </w:r>
      <w:hyperlink r:id="rId55" w:tgtFrame="_new" w:history="1">
        <w:r w:rsidRPr="00477AAD">
          <w:rPr>
            <w:rFonts w:asciiTheme="minorHAnsi" w:eastAsiaTheme="minorHAnsi" w:hAnsiTheme="minorHAnsi" w:cstheme="minorBidi"/>
            <w:color w:val="0563C1" w:themeColor="hyperlink"/>
            <w:kern w:val="2"/>
            <w:u w:val="single"/>
            <w:lang w:val="en-GB" w:eastAsia="en-US"/>
            <w14:ligatures w14:val="standardContextual"/>
          </w:rPr>
          <w:t>https://www.td.com</w:t>
        </w:r>
      </w:hyperlink>
    </w:p>
    <w:p w14:paraId="18A08E28" w14:textId="77777777" w:rsidR="00477AAD" w:rsidRDefault="00477AAD" w:rsidP="00477AAD">
      <w:pPr>
        <w:pStyle w:val="ListParagraph"/>
        <w:rPr>
          <w:rFonts w:asciiTheme="minorHAnsi" w:eastAsiaTheme="minorHAnsi" w:hAnsiTheme="minorHAnsi" w:cstheme="minorBidi"/>
          <w:kern w:val="2"/>
          <w:lang w:val="en-GB" w:eastAsia="en-US"/>
          <w14:ligatures w14:val="standardContextual"/>
        </w:rPr>
      </w:pPr>
    </w:p>
    <w:p w14:paraId="2EDAA34E" w14:textId="77777777" w:rsidR="00477AAD" w:rsidRDefault="00477AAD" w:rsidP="00477AAD">
      <w:pPr>
        <w:numPr>
          <w:ilvl w:val="0"/>
          <w:numId w:val="51"/>
        </w:numPr>
        <w:spacing w:after="160" w:line="259" w:lineRule="auto"/>
        <w:contextualSpacing/>
        <w:rPr>
          <w:rFonts w:asciiTheme="minorHAnsi" w:eastAsiaTheme="minorHAnsi" w:hAnsiTheme="minorHAnsi" w:cstheme="minorBidi"/>
          <w:kern w:val="2"/>
          <w:lang w:val="en-GB" w:eastAsia="en-US"/>
          <w14:ligatures w14:val="standardContextual"/>
        </w:rPr>
      </w:pPr>
      <w:proofErr w:type="spellStart"/>
      <w:r w:rsidRPr="00477AAD">
        <w:rPr>
          <w:rFonts w:asciiTheme="minorHAnsi" w:eastAsiaTheme="minorHAnsi" w:hAnsiTheme="minorHAnsi" w:cstheme="minorBidi"/>
          <w:kern w:val="2"/>
          <w:lang w:val="en-GB" w:eastAsia="en-US"/>
          <w14:ligatures w14:val="standardContextual"/>
        </w:rPr>
        <w:t>Natwest</w:t>
      </w:r>
      <w:proofErr w:type="spellEnd"/>
      <w:r w:rsidRPr="00477AAD">
        <w:rPr>
          <w:rFonts w:asciiTheme="minorHAnsi" w:eastAsiaTheme="minorHAnsi" w:hAnsiTheme="minorHAnsi" w:cstheme="minorBidi"/>
          <w:kern w:val="2"/>
          <w:lang w:val="en-GB" w:eastAsia="en-US"/>
          <w14:ligatures w14:val="standardContextual"/>
        </w:rPr>
        <w:t xml:space="preserve">. (2022). </w:t>
      </w:r>
      <w:r w:rsidRPr="00477AAD">
        <w:rPr>
          <w:rFonts w:asciiTheme="minorHAnsi" w:eastAsiaTheme="minorHAnsi" w:hAnsiTheme="minorHAnsi" w:cstheme="minorBidi"/>
          <w:i/>
          <w:iCs/>
          <w:kern w:val="2"/>
          <w:lang w:val="en-GB" w:eastAsia="en-US"/>
          <w14:ligatures w14:val="standardContextual"/>
        </w:rPr>
        <w:t>Climate-related disclosures report</w:t>
      </w:r>
      <w:r w:rsidRPr="00477AAD">
        <w:rPr>
          <w:rFonts w:asciiTheme="minorHAnsi" w:eastAsiaTheme="minorHAnsi" w:hAnsiTheme="minorHAnsi" w:cstheme="minorBidi"/>
          <w:kern w:val="2"/>
          <w:lang w:val="en-GB" w:eastAsia="en-US"/>
          <w14:ligatures w14:val="standardContextual"/>
        </w:rPr>
        <w:t xml:space="preserve">. Retrieved from </w:t>
      </w:r>
      <w:hyperlink r:id="rId56" w:tgtFrame="_new" w:history="1">
        <w:r w:rsidRPr="00477AAD">
          <w:rPr>
            <w:rFonts w:asciiTheme="minorHAnsi" w:eastAsiaTheme="minorHAnsi" w:hAnsiTheme="minorHAnsi" w:cstheme="minorBidi"/>
            <w:color w:val="0563C1" w:themeColor="hyperlink"/>
            <w:kern w:val="2"/>
            <w:u w:val="single"/>
            <w:lang w:val="en-GB" w:eastAsia="en-US"/>
            <w14:ligatures w14:val="standardContextual"/>
          </w:rPr>
          <w:t>https://www.natwestgroup.com</w:t>
        </w:r>
      </w:hyperlink>
    </w:p>
    <w:p w14:paraId="07321186" w14:textId="77777777" w:rsidR="00477AAD" w:rsidRPr="00477AAD" w:rsidRDefault="00477AAD" w:rsidP="00477AAD">
      <w:pPr>
        <w:spacing w:after="160" w:line="259" w:lineRule="auto"/>
        <w:contextualSpacing/>
        <w:rPr>
          <w:rFonts w:asciiTheme="minorHAnsi" w:eastAsiaTheme="minorHAnsi" w:hAnsiTheme="minorHAnsi" w:cstheme="minorBidi"/>
          <w:kern w:val="2"/>
          <w:lang w:val="en-GB" w:eastAsia="en-US"/>
          <w14:ligatures w14:val="standardContextual"/>
        </w:rPr>
      </w:pPr>
    </w:p>
    <w:p w14:paraId="14B7BCD5" w14:textId="77777777" w:rsidR="00477AAD" w:rsidRDefault="00477AAD" w:rsidP="00477AAD">
      <w:pPr>
        <w:numPr>
          <w:ilvl w:val="0"/>
          <w:numId w:val="51"/>
        </w:numPr>
        <w:spacing w:after="160" w:line="259" w:lineRule="auto"/>
        <w:contextualSpacing/>
        <w:rPr>
          <w:rFonts w:asciiTheme="minorHAnsi" w:eastAsiaTheme="minorHAnsi" w:hAnsiTheme="minorHAnsi" w:cstheme="minorBidi"/>
          <w:kern w:val="2"/>
          <w:lang w:val="en-GB" w:eastAsia="en-US"/>
          <w14:ligatures w14:val="standardContextual"/>
        </w:rPr>
      </w:pPr>
      <w:r w:rsidRPr="00477AAD">
        <w:rPr>
          <w:rFonts w:asciiTheme="minorHAnsi" w:eastAsiaTheme="minorHAnsi" w:hAnsiTheme="minorHAnsi" w:cstheme="minorBidi"/>
          <w:kern w:val="2"/>
          <w:lang w:val="en-GB" w:eastAsia="en-US"/>
          <w14:ligatures w14:val="standardContextual"/>
        </w:rPr>
        <w:t xml:space="preserve">Network for Greening the Financial System (NGFS). (2020). </w:t>
      </w:r>
      <w:r w:rsidRPr="00477AAD">
        <w:rPr>
          <w:rFonts w:asciiTheme="minorHAnsi" w:eastAsiaTheme="minorHAnsi" w:hAnsiTheme="minorHAnsi" w:cstheme="minorBidi"/>
          <w:i/>
          <w:iCs/>
          <w:kern w:val="2"/>
          <w:lang w:val="en-GB" w:eastAsia="en-US"/>
          <w14:ligatures w14:val="standardContextual"/>
        </w:rPr>
        <w:t>Overview of environmental risk analysis by FIs</w:t>
      </w:r>
      <w:r w:rsidRPr="00477AAD">
        <w:rPr>
          <w:rFonts w:asciiTheme="minorHAnsi" w:eastAsiaTheme="minorHAnsi" w:hAnsiTheme="minorHAnsi" w:cstheme="minorBidi"/>
          <w:kern w:val="2"/>
          <w:lang w:val="en-GB" w:eastAsia="en-US"/>
          <w14:ligatures w14:val="standardContextual"/>
        </w:rPr>
        <w:t xml:space="preserve">. Retrieved from </w:t>
      </w:r>
      <w:hyperlink r:id="rId57" w:tgtFrame="_new" w:history="1">
        <w:r w:rsidRPr="00477AAD">
          <w:rPr>
            <w:rFonts w:asciiTheme="minorHAnsi" w:eastAsiaTheme="minorHAnsi" w:hAnsiTheme="minorHAnsi" w:cstheme="minorBidi"/>
            <w:color w:val="0563C1" w:themeColor="hyperlink"/>
            <w:kern w:val="2"/>
            <w:u w:val="single"/>
            <w:lang w:val="en-GB" w:eastAsia="en-US"/>
            <w14:ligatures w14:val="standardContextual"/>
          </w:rPr>
          <w:t>https://www.ngfs.net</w:t>
        </w:r>
      </w:hyperlink>
    </w:p>
    <w:p w14:paraId="76739CE6" w14:textId="77777777" w:rsidR="00477AAD" w:rsidRDefault="00477AAD" w:rsidP="00477AAD">
      <w:pPr>
        <w:pStyle w:val="ListParagraph"/>
        <w:rPr>
          <w:rFonts w:asciiTheme="minorHAnsi" w:eastAsiaTheme="minorHAnsi" w:hAnsiTheme="minorHAnsi" w:cstheme="minorBidi"/>
          <w:kern w:val="2"/>
          <w:lang w:val="en-GB" w:eastAsia="en-US"/>
          <w14:ligatures w14:val="standardContextual"/>
        </w:rPr>
      </w:pPr>
    </w:p>
    <w:p w14:paraId="67D3F485" w14:textId="77777777" w:rsidR="00477AAD" w:rsidRPr="00477AAD" w:rsidRDefault="00477AAD" w:rsidP="00477AAD">
      <w:pPr>
        <w:numPr>
          <w:ilvl w:val="0"/>
          <w:numId w:val="51"/>
        </w:numPr>
        <w:spacing w:after="160" w:line="259" w:lineRule="auto"/>
        <w:contextualSpacing/>
        <w:rPr>
          <w:rFonts w:asciiTheme="minorHAnsi" w:eastAsiaTheme="minorHAnsi" w:hAnsiTheme="minorHAnsi" w:cstheme="minorBidi"/>
          <w:kern w:val="2"/>
          <w:lang w:val="en-GB" w:eastAsia="en-US"/>
          <w14:ligatures w14:val="standardContextual"/>
        </w:rPr>
      </w:pPr>
      <w:r w:rsidRPr="00477AAD">
        <w:rPr>
          <w:rFonts w:asciiTheme="minorHAnsi" w:eastAsiaTheme="minorHAnsi" w:hAnsiTheme="minorHAnsi" w:cstheme="minorBidi"/>
          <w:kern w:val="2"/>
          <w:lang w:val="en-GB" w:eastAsia="en-US"/>
          <w14:ligatures w14:val="standardContextual"/>
        </w:rPr>
        <w:t xml:space="preserve">Partnership for Carbon Accounting Financials. (2022). </w:t>
      </w:r>
      <w:r w:rsidRPr="00477AAD">
        <w:rPr>
          <w:rFonts w:asciiTheme="minorHAnsi" w:eastAsiaTheme="minorHAnsi" w:hAnsiTheme="minorHAnsi" w:cstheme="minorBidi"/>
          <w:i/>
          <w:iCs/>
          <w:kern w:val="2"/>
          <w:lang w:val="en-GB" w:eastAsia="en-US"/>
          <w14:ligatures w14:val="standardContextual"/>
        </w:rPr>
        <w:t>Global GHG accounting and reporting standard for the financial industry</w:t>
      </w:r>
      <w:r w:rsidRPr="00477AAD">
        <w:rPr>
          <w:rFonts w:asciiTheme="minorHAnsi" w:eastAsiaTheme="minorHAnsi" w:hAnsiTheme="minorHAnsi" w:cstheme="minorBidi"/>
          <w:kern w:val="2"/>
          <w:lang w:val="en-GB" w:eastAsia="en-US"/>
          <w14:ligatures w14:val="standardContextual"/>
        </w:rPr>
        <w:t xml:space="preserve">. Retrieved from </w:t>
      </w:r>
      <w:hyperlink r:id="rId58" w:tgtFrame="_new" w:history="1">
        <w:r w:rsidRPr="00477AAD">
          <w:rPr>
            <w:rFonts w:asciiTheme="minorHAnsi" w:eastAsiaTheme="minorHAnsi" w:hAnsiTheme="minorHAnsi" w:cstheme="minorBidi"/>
            <w:color w:val="0563C1" w:themeColor="hyperlink"/>
            <w:kern w:val="2"/>
            <w:u w:val="single"/>
            <w:lang w:val="en-GB" w:eastAsia="en-US"/>
            <w14:ligatures w14:val="standardContextual"/>
          </w:rPr>
          <w:t>https://www.carbonaccountingfinancials.com</w:t>
        </w:r>
      </w:hyperlink>
    </w:p>
    <w:p w14:paraId="299F52C9" w14:textId="6ED9D17E" w:rsidR="00CB4FD6" w:rsidRPr="00167446" w:rsidRDefault="00CB4FD6" w:rsidP="00477AAD">
      <w:pPr>
        <w:pStyle w:val="ListParagraph"/>
        <w:jc w:val="both"/>
        <w:rPr>
          <w:rFonts w:ascii="Calibri" w:hAnsi="Calibri" w:cs="Calibri"/>
          <w:sz w:val="20"/>
          <w:szCs w:val="20"/>
        </w:rPr>
      </w:pPr>
    </w:p>
    <w:sectPr w:rsidR="00CB4FD6" w:rsidRPr="00167446" w:rsidSect="008B2877">
      <w:headerReference w:type="even" r:id="rId59"/>
      <w:headerReference w:type="default" r:id="rId60"/>
      <w:footerReference w:type="even" r:id="rId61"/>
      <w:footerReference w:type="default" r:id="rId62"/>
      <w:headerReference w:type="first" r:id="rId63"/>
      <w:footerReference w:type="first" r:id="rId64"/>
      <w:pgSz w:w="11906" w:h="16838"/>
      <w:pgMar w:top="1293" w:right="1133" w:bottom="1440"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5F86CFF" w14:textId="77777777" w:rsidR="004C4823" w:rsidRDefault="004C4823" w:rsidP="002B5AF7">
      <w:r>
        <w:separator/>
      </w:r>
    </w:p>
  </w:endnote>
  <w:endnote w:type="continuationSeparator" w:id="0">
    <w:p w14:paraId="46F279C2" w14:textId="77777777" w:rsidR="004C4823" w:rsidRDefault="004C4823" w:rsidP="002B5AF7">
      <w:r>
        <w:continuationSeparator/>
      </w:r>
    </w:p>
  </w:endnote>
  <w:endnote w:type="continuationNotice" w:id="1">
    <w:p w14:paraId="32AF9F7A" w14:textId="77777777" w:rsidR="004C4823" w:rsidRDefault="004C482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Source Sans Pro">
    <w:charset w:val="00"/>
    <w:family w:val="swiss"/>
    <w:pitch w:val="variable"/>
    <w:sig w:usb0="600002F7" w:usb1="02000001" w:usb2="00000000" w:usb3="00000000" w:csb0="0000019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A2866B6" w14:textId="10AF0B97" w:rsidR="004725EE" w:rsidRDefault="009B6886" w:rsidP="006D2FA9">
    <w:pPr>
      <w:pStyle w:val="Footer"/>
      <w:framePr w:wrap="none" w:vAnchor="text" w:hAnchor="margin" w:xAlign="center" w:y="1"/>
      <w:rPr>
        <w:rStyle w:val="PageNumber"/>
      </w:rPr>
    </w:pPr>
    <w:r>
      <w:rPr>
        <w:noProof/>
        <w14:ligatures w14:val="standardContextual"/>
      </w:rPr>
      <mc:AlternateContent>
        <mc:Choice Requires="wps">
          <w:drawing>
            <wp:anchor distT="0" distB="0" distL="0" distR="0" simplePos="0" relativeHeight="251658244" behindDoc="0" locked="0" layoutInCell="1" allowOverlap="1" wp14:anchorId="265C63E4" wp14:editId="5066FE0E">
              <wp:simplePos x="635" y="635"/>
              <wp:positionH relativeFrom="column">
                <wp:align>center</wp:align>
              </wp:positionH>
              <wp:positionV relativeFrom="paragraph">
                <wp:posOffset>635</wp:posOffset>
              </wp:positionV>
              <wp:extent cx="443865" cy="443865"/>
              <wp:effectExtent l="0" t="0" r="8890" b="12700"/>
              <wp:wrapSquare wrapText="bothSides"/>
              <wp:docPr id="3" name="Text Box 3" descr="C2: CBK - Offici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3B058113" w14:textId="5D3576A4" w:rsidR="009B6886" w:rsidRPr="009B6886" w:rsidRDefault="009B6886">
                          <w:pPr>
                            <w:rPr>
                              <w:rFonts w:ascii="Calibri" w:eastAsia="Calibri" w:hAnsi="Calibri" w:cs="Calibri"/>
                              <w:color w:val="0000FF"/>
                              <w:sz w:val="18"/>
                              <w:szCs w:val="18"/>
                            </w:rPr>
                          </w:pPr>
                          <w:r w:rsidRPr="009B6886">
                            <w:rPr>
                              <w:rFonts w:ascii="Calibri" w:eastAsia="Calibri" w:hAnsi="Calibri" w:cs="Calibri"/>
                              <w:color w:val="0000FF"/>
                              <w:sz w:val="18"/>
                              <w:szCs w:val="18"/>
                            </w:rPr>
                            <w:t>C2: CBK - Official</w:t>
                          </w:r>
                        </w:p>
                      </w:txbxContent>
                    </wps:txbx>
                    <wps:bodyPr rot="0" spcFirstLastPara="0" vertOverflow="overflow" horzOverflow="overflow" vert="horz" wrap="none" lIns="0" tIns="0" rIns="0" bIns="0" numCol="1" spcCol="0" rtlCol="0" fromWordArt="0" anchor="t" anchorCtr="0" forceAA="0" compatLnSpc="1">
                      <a:prstTxWarp prst="textNoShape">
                        <a:avLst/>
                      </a:prstTxWarp>
                      <a:spAutoFit/>
                    </wps:bodyPr>
                  </wps:wsp>
                </a:graphicData>
              </a:graphic>
            </wp:anchor>
          </w:drawing>
        </mc:Choice>
        <mc:Fallback xmlns="">
          <w:pict>
            <v:shapetype w14:anchorId="265C63E4" id="_x0000_t202" coordsize="21600,21600" o:spt="202" path="m,l,21600r21600,l21600,xe">
              <v:stroke joinstyle="miter"/>
              <v:path gradientshapeok="t" o:connecttype="rect"/>
            </v:shapetype>
            <v:shape id="Text Box 3" o:spid="_x0000_s1026" type="#_x0000_t202" alt="C2: CBK - Official" style="position:absolute;margin-left:0;margin-top:.05pt;width:34.95pt;height:34.95pt;z-index:251658244;visibility:visible;mso-wrap-style:none;mso-wrap-distance-left:0;mso-wrap-distance-top:0;mso-wrap-distance-right:0;mso-wrap-distance-bottom:0;mso-position-horizontal:center;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" filled="f" stroked="f">
              <v:textbox style="mso-fit-shape-to-text:t" inset="0,0,0,0">
                <w:txbxContent>
                  <w:p w14:paraId="3B058113" w14:textId="5D3576A4" w:rsidR="009B6886" w:rsidRPr="009B6886" w:rsidRDefault="009B6886">
                    <w:pPr>
                      <w:rPr>
                        <w:rFonts w:ascii="Calibri" w:eastAsia="Calibri" w:hAnsi="Calibri" w:cs="Calibri"/>
                        <w:color w:val="0000FF"/>
                        <w:sz w:val="18"/>
                        <w:szCs w:val="18"/>
                      </w:rPr>
                    </w:pPr>
                    <w:r w:rsidRPr="009B6886">
                      <w:rPr>
                        <w:rFonts w:ascii="Calibri" w:eastAsia="Calibri" w:hAnsi="Calibri" w:cs="Calibri"/>
                        <w:color w:val="0000FF"/>
                        <w:sz w:val="18"/>
                        <w:szCs w:val="18"/>
                      </w:rPr>
                      <w:t>C2: CBK - Official</w:t>
                    </w:r>
                  </w:p>
                </w:txbxContent>
              </v:textbox>
              <w10:wrap type="square"/>
            </v:shape>
          </w:pict>
        </mc:Fallback>
      </mc:AlternateContent>
    </w:r>
  </w:p>
  <w:sdt>
    <w:sdtPr>
      <w:rPr>
        <w:rStyle w:val="PageNumber"/>
      </w:rPr>
      <w:id w:val="1570759561"/>
      <w:docPartObj>
        <w:docPartGallery w:val="Page Numbers (Bottom of Page)"/>
        <w:docPartUnique/>
      </w:docPartObj>
    </w:sdtPr>
    <w:sdtContent>
      <w:p w14:paraId="244D0474" w14:textId="77777777" w:rsidR="004725EE" w:rsidRDefault="004725EE" w:rsidP="006D2FA9">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383136C9" w14:textId="77777777" w:rsidR="004725EE" w:rsidRDefault="004725E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993F013" w14:textId="0C0D58E5" w:rsidR="004725EE" w:rsidRPr="00616282" w:rsidRDefault="00000000" w:rsidP="006D2FA9">
    <w:pPr>
      <w:pStyle w:val="Footer"/>
      <w:framePr w:wrap="none" w:vAnchor="text" w:hAnchor="margin" w:xAlign="center" w:y="1"/>
      <w:rPr>
        <w:rStyle w:val="PageNumber"/>
        <w:rFonts w:ascii="Calibri" w:hAnsi="Calibri" w:cs="Calibri"/>
      </w:rPr>
    </w:pPr>
    <w:sdt>
      <w:sdtPr>
        <w:rPr>
          <w:rStyle w:val="PageNumber"/>
          <w:rFonts w:ascii="Calibri" w:hAnsi="Calibri" w:cs="Calibri"/>
        </w:rPr>
        <w:id w:val="-2096927584"/>
        <w:docPartObj>
          <w:docPartGallery w:val="Page Numbers (Bottom of Page)"/>
          <w:docPartUnique/>
        </w:docPartObj>
      </w:sdtPr>
      <w:sdtContent>
        <w:r w:rsidR="004725EE" w:rsidRPr="00616282">
          <w:rPr>
            <w:rStyle w:val="PageNumber"/>
            <w:rFonts w:ascii="Calibri" w:hAnsi="Calibri" w:cs="Calibri"/>
          </w:rPr>
          <w:fldChar w:fldCharType="begin"/>
        </w:r>
        <w:r w:rsidR="004725EE" w:rsidRPr="00616282">
          <w:rPr>
            <w:rStyle w:val="PageNumber"/>
            <w:rFonts w:ascii="Calibri" w:hAnsi="Calibri" w:cs="Calibri"/>
          </w:rPr>
          <w:instrText xml:space="preserve"> PAGE </w:instrText>
        </w:r>
        <w:r w:rsidR="004725EE" w:rsidRPr="00616282">
          <w:rPr>
            <w:rStyle w:val="PageNumber"/>
            <w:rFonts w:ascii="Calibri" w:hAnsi="Calibri" w:cs="Calibri"/>
          </w:rPr>
          <w:fldChar w:fldCharType="separate"/>
        </w:r>
        <w:r w:rsidR="004725EE" w:rsidRPr="00616282">
          <w:rPr>
            <w:rStyle w:val="PageNumber"/>
            <w:rFonts w:ascii="Calibri" w:hAnsi="Calibri" w:cs="Calibri"/>
            <w:noProof/>
          </w:rPr>
          <w:t>29</w:t>
        </w:r>
        <w:r w:rsidR="004725EE" w:rsidRPr="00616282">
          <w:rPr>
            <w:rStyle w:val="PageNumber"/>
            <w:rFonts w:ascii="Calibri" w:hAnsi="Calibri" w:cs="Calibri"/>
          </w:rPr>
          <w:fldChar w:fldCharType="end"/>
        </w:r>
      </w:sdtContent>
    </w:sdt>
  </w:p>
  <w:p w14:paraId="14D10D7D" w14:textId="771802F5" w:rsidR="004725EE" w:rsidRPr="00616282" w:rsidRDefault="00CB4FD6">
    <w:pPr>
      <w:pStyle w:val="Footer"/>
      <w:rPr>
        <w:rFonts w:ascii="Calibri" w:hAnsi="Calibri" w:cs="Calibri"/>
      </w:rPr>
    </w:pPr>
    <w:r>
      <w:rPr>
        <w:rFonts w:ascii="Calibri" w:hAnsi="Calibri" w:cs="Calibri"/>
        <w:noProof/>
        <w14:ligatures w14:val="standardContextual"/>
      </w:rPr>
      <mc:AlternateContent>
        <mc:Choice Requires="wps">
          <w:drawing>
            <wp:anchor distT="0" distB="0" distL="0" distR="0" simplePos="0" relativeHeight="251658245" behindDoc="0" locked="0" layoutInCell="1" allowOverlap="1" wp14:anchorId="5BA7C12F" wp14:editId="48B410A0">
              <wp:simplePos x="0" y="0"/>
              <wp:positionH relativeFrom="column">
                <wp:posOffset>2534920</wp:posOffset>
              </wp:positionH>
              <wp:positionV relativeFrom="paragraph">
                <wp:posOffset>-207010</wp:posOffset>
              </wp:positionV>
              <wp:extent cx="443865" cy="443865"/>
              <wp:effectExtent l="0" t="0" r="2540" b="0"/>
              <wp:wrapSquare wrapText="bothSides"/>
              <wp:docPr id="5" name="Text Box 5" descr="C2: CBK - Offici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1C24D0AA" w14:textId="4B65D882" w:rsidR="009B6886" w:rsidRPr="009B6886" w:rsidRDefault="009B6886">
                          <w:pPr>
                            <w:rPr>
                              <w:rFonts w:ascii="Calibri" w:eastAsia="Calibri" w:hAnsi="Calibri" w:cs="Calibri"/>
                              <w:color w:val="0000FF"/>
                              <w:sz w:val="18"/>
                              <w:szCs w:val="18"/>
                            </w:rPr>
                          </w:pPr>
                          <w:r w:rsidRPr="009B6886">
                            <w:rPr>
                              <w:rFonts w:ascii="Calibri" w:eastAsia="Calibri" w:hAnsi="Calibri" w:cs="Calibri"/>
                              <w:color w:val="0000FF"/>
                              <w:sz w:val="18"/>
                              <w:szCs w:val="18"/>
                            </w:rPr>
                            <w:t>C2: CBK - Official</w:t>
                          </w:r>
                        </w:p>
                      </w:txbxContent>
                    </wps:txbx>
                    <wps:bodyPr rot="0" spcFirstLastPara="0" vertOverflow="overflow" horzOverflow="overflow" vert="horz" wrap="none" lIns="0" tIns="0" rIns="0" bIns="0" numCol="1" spcCol="0" rtlCol="0" fromWordArt="0" anchor="t" anchorCtr="0" forceAA="0" compatLnSpc="1">
                      <a:prstTxWarp prst="textNoShape">
                        <a:avLst/>
                      </a:prstTxWarp>
                      <a:spAutoFit/>
                    </wps:bodyPr>
                  </wps:wsp>
                </a:graphicData>
              </a:graphic>
            </wp:anchor>
          </w:drawing>
        </mc:Choice>
        <mc:Fallback xmlns="">
          <w:pict>
            <v:shapetype w14:anchorId="5BA7C12F" id="_x0000_t202" coordsize="21600,21600" o:spt="202" path="m,l,21600r21600,l21600,xe">
              <v:stroke joinstyle="miter"/>
              <v:path gradientshapeok="t" o:connecttype="rect"/>
            </v:shapetype>
            <v:shape id="Text Box 5" o:spid="_x0000_s1027" type="#_x0000_t202" alt="C2: CBK - Official" style="position:absolute;margin-left:199.6pt;margin-top:-16.3pt;width:34.95pt;height:34.95pt;z-index:251658245;visibility:visible;mso-wrap-style:non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" filled="f" stroked="f">
              <v:textbox style="mso-fit-shape-to-text:t" inset="0,0,0,0">
                <w:txbxContent>
                  <w:p w14:paraId="1C24D0AA" w14:textId="4B65D882" w:rsidR="009B6886" w:rsidRPr="009B6886" w:rsidRDefault="009B6886">
                    <w:pPr>
                      <w:rPr>
                        <w:rFonts w:ascii="Calibri" w:eastAsia="Calibri" w:hAnsi="Calibri" w:cs="Calibri"/>
                        <w:color w:val="0000FF"/>
                        <w:sz w:val="18"/>
                        <w:szCs w:val="18"/>
                      </w:rPr>
                    </w:pPr>
                    <w:r w:rsidRPr="009B6886">
                      <w:rPr>
                        <w:rFonts w:ascii="Calibri" w:eastAsia="Calibri" w:hAnsi="Calibri" w:cs="Calibri"/>
                        <w:color w:val="0000FF"/>
                        <w:sz w:val="18"/>
                        <w:szCs w:val="18"/>
                      </w:rPr>
                      <w:t>C2: CBK - Official</w:t>
                    </w:r>
                  </w:p>
                </w:txbxContent>
              </v:textbox>
              <w10:wrap type="squar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394C5B7" w14:textId="1D8BCC2B" w:rsidR="00991A46" w:rsidRDefault="009B6886">
    <w:pPr>
      <w:pStyle w:val="Footer"/>
    </w:pPr>
    <w:r>
      <w:rPr>
        <w:noProof/>
        <w14:ligatures w14:val="standardContextual"/>
      </w:rPr>
      <mc:AlternateContent>
        <mc:Choice Requires="wps">
          <w:drawing>
            <wp:anchor distT="0" distB="0" distL="0" distR="0" simplePos="0" relativeHeight="251658243" behindDoc="0" locked="0" layoutInCell="1" allowOverlap="1" wp14:anchorId="172460B8" wp14:editId="68C971AE">
              <wp:simplePos x="635" y="635"/>
              <wp:positionH relativeFrom="column">
                <wp:align>center</wp:align>
              </wp:positionH>
              <wp:positionV relativeFrom="paragraph">
                <wp:posOffset>635</wp:posOffset>
              </wp:positionV>
              <wp:extent cx="443865" cy="443865"/>
              <wp:effectExtent l="0" t="0" r="8890" b="12700"/>
              <wp:wrapSquare wrapText="bothSides"/>
              <wp:docPr id="1" name="Text Box 1" descr="C2: CBK - Offici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60253EA7" w14:textId="0FE188D4" w:rsidR="009B6886" w:rsidRPr="009B6886" w:rsidRDefault="009B6886">
                          <w:pPr>
                            <w:rPr>
                              <w:rFonts w:ascii="Calibri" w:eastAsia="Calibri" w:hAnsi="Calibri" w:cs="Calibri"/>
                              <w:color w:val="0000FF"/>
                              <w:sz w:val="18"/>
                              <w:szCs w:val="18"/>
                            </w:rPr>
                          </w:pPr>
                          <w:r w:rsidRPr="009B6886">
                            <w:rPr>
                              <w:rFonts w:ascii="Calibri" w:eastAsia="Calibri" w:hAnsi="Calibri" w:cs="Calibri"/>
                              <w:color w:val="0000FF"/>
                              <w:sz w:val="18"/>
                              <w:szCs w:val="18"/>
                            </w:rPr>
                            <w:t>C2: CBK - Official</w:t>
                          </w:r>
                        </w:p>
                      </w:txbxContent>
                    </wps:txbx>
                    <wps:bodyPr rot="0" spcFirstLastPara="0" vertOverflow="overflow" horzOverflow="overflow" vert="horz" wrap="none" lIns="0" tIns="0" rIns="0" bIns="0" numCol="1" spcCol="0" rtlCol="0" fromWordArt="0" anchor="t" anchorCtr="0" forceAA="0" compatLnSpc="1">
                      <a:prstTxWarp prst="textNoShape">
                        <a:avLst/>
                      </a:prstTxWarp>
                      <a:spAutoFit/>
                    </wps:bodyPr>
                  </wps:wsp>
                </a:graphicData>
              </a:graphic>
            </wp:anchor>
          </w:drawing>
        </mc:Choice>
        <mc:Fallback xmlns="">
          <w:pict>
            <v:shapetype w14:anchorId="172460B8" id="_x0000_t202" coordsize="21600,21600" o:spt="202" path="m,l,21600r21600,l21600,xe">
              <v:stroke joinstyle="miter"/>
              <v:path gradientshapeok="t" o:connecttype="rect"/>
            </v:shapetype>
            <v:shape id="Text Box 1" o:spid="_x0000_s1028" type="#_x0000_t202" alt="C2: CBK - Official" style="position:absolute;margin-left:0;margin-top:.05pt;width:34.95pt;height:34.95pt;z-index:251658243;visibility:visible;mso-wrap-style:none;mso-wrap-distance-left:0;mso-wrap-distance-top:0;mso-wrap-distance-right:0;mso-wrap-distance-bottom:0;mso-position-horizontal:center;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" filled="f" stroked="f">
              <v:textbox style="mso-fit-shape-to-text:t" inset="0,0,0,0">
                <w:txbxContent>
                  <w:p w14:paraId="60253EA7" w14:textId="0FE188D4" w:rsidR="009B6886" w:rsidRPr="009B6886" w:rsidRDefault="009B6886">
                    <w:pPr>
                      <w:rPr>
                        <w:rFonts w:ascii="Calibri" w:eastAsia="Calibri" w:hAnsi="Calibri" w:cs="Calibri"/>
                        <w:color w:val="0000FF"/>
                        <w:sz w:val="18"/>
                        <w:szCs w:val="18"/>
                      </w:rPr>
                    </w:pPr>
                    <w:r w:rsidRPr="009B6886">
                      <w:rPr>
                        <w:rFonts w:ascii="Calibri" w:eastAsia="Calibri" w:hAnsi="Calibri" w:cs="Calibri"/>
                        <w:color w:val="0000FF"/>
                        <w:sz w:val="18"/>
                        <w:szCs w:val="18"/>
                      </w:rPr>
                      <w:t>C2: CBK - Official</w:t>
                    </w:r>
                  </w:p>
                </w:txbxContent>
              </v:textbox>
              <w10:wrap type="squar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88C1F47" w14:textId="77777777" w:rsidR="004C4823" w:rsidRDefault="004C4823" w:rsidP="002B5AF7">
      <w:r>
        <w:separator/>
      </w:r>
    </w:p>
  </w:footnote>
  <w:footnote w:type="continuationSeparator" w:id="0">
    <w:p w14:paraId="6AB82649" w14:textId="77777777" w:rsidR="004C4823" w:rsidRDefault="004C4823" w:rsidP="002B5AF7">
      <w:r>
        <w:continuationSeparator/>
      </w:r>
    </w:p>
  </w:footnote>
  <w:footnote w:type="continuationNotice" w:id="1">
    <w:p w14:paraId="18389B3A" w14:textId="77777777" w:rsidR="004C4823" w:rsidRDefault="004C4823"/>
  </w:footnote>
  <w:footnote w:id="2">
    <w:p w14:paraId="0CBD89D9" w14:textId="77777777" w:rsidR="00157082" w:rsidRPr="00B503D9" w:rsidRDefault="00157082" w:rsidP="00157082">
      <w:pPr>
        <w:pStyle w:val="FootnoteText"/>
        <w:rPr>
          <w:i/>
          <w:iCs/>
        </w:rPr>
      </w:pPr>
      <w:r w:rsidRPr="00B503D9">
        <w:rPr>
          <w:rStyle w:val="FootnoteReference"/>
          <w:i/>
          <w:iCs/>
        </w:rPr>
        <w:footnoteRef/>
      </w:r>
      <w:r w:rsidRPr="00B503D9">
        <w:rPr>
          <w:i/>
          <w:iCs/>
        </w:rPr>
        <w:t xml:space="preserve"> </w:t>
      </w:r>
      <w:hyperlink r:id="rId1" w:history="1">
        <w:r w:rsidRPr="00B503D9">
          <w:rPr>
            <w:rStyle w:val="Hyperlink"/>
            <w:i/>
            <w:iCs/>
          </w:rPr>
          <w:t>https://www.afdb.org/sites/default/files/2023/09/08/the_african_leaders_nairobi_declaration_on_climate_change-rev-eng.pdf</w:t>
        </w:r>
      </w:hyperlink>
    </w:p>
  </w:footnote>
  <w:footnote w:id="3">
    <w:p w14:paraId="5E5DF178" w14:textId="77777777" w:rsidR="00157082" w:rsidRPr="00B503D9" w:rsidRDefault="00157082" w:rsidP="00157082">
      <w:pPr>
        <w:pStyle w:val="FootnoteText"/>
        <w:rPr>
          <w:i/>
          <w:iCs/>
        </w:rPr>
      </w:pPr>
      <w:r w:rsidRPr="00B503D9">
        <w:rPr>
          <w:rStyle w:val="FootnoteReference"/>
          <w:i/>
          <w:iCs/>
        </w:rPr>
        <w:footnoteRef/>
      </w:r>
      <w:r w:rsidRPr="00B503D9">
        <w:rPr>
          <w:i/>
          <w:iCs/>
        </w:rPr>
        <w:t xml:space="preserve"> </w:t>
      </w:r>
      <w:hyperlink r:id="rId2" w:history="1">
        <w:r w:rsidRPr="00B503D9">
          <w:rPr>
            <w:rStyle w:val="Hyperlink"/>
            <w:i/>
            <w:iCs/>
          </w:rPr>
          <w:t>https://www.ifrs.org/groups/international-sustainability-standards-board</w:t>
        </w:r>
      </w:hyperlink>
      <w:r w:rsidRPr="00B503D9">
        <w:rPr>
          <w:i/>
          <w:iCs/>
        </w:rPr>
        <w:t xml:space="preserve"> </w:t>
      </w:r>
    </w:p>
  </w:footnote>
  <w:footnote w:id="4">
    <w:p w14:paraId="550565CE" w14:textId="77777777" w:rsidR="00157082" w:rsidRPr="00B503D9" w:rsidRDefault="00157082" w:rsidP="00157082">
      <w:pPr>
        <w:pStyle w:val="FootnoteText"/>
        <w:rPr>
          <w:i/>
          <w:iCs/>
        </w:rPr>
      </w:pPr>
      <w:r w:rsidRPr="00B503D9">
        <w:rPr>
          <w:rStyle w:val="FootnoteReference"/>
          <w:i/>
          <w:iCs/>
        </w:rPr>
        <w:footnoteRef/>
      </w:r>
      <w:r w:rsidRPr="00B503D9">
        <w:rPr>
          <w:i/>
          <w:iCs/>
        </w:rPr>
        <w:t xml:space="preserve"> </w:t>
      </w:r>
      <w:hyperlink r:id="rId3" w:history="1">
        <w:r w:rsidRPr="00B503D9">
          <w:rPr>
            <w:rStyle w:val="Hyperlink"/>
            <w:i/>
            <w:iCs/>
          </w:rPr>
          <w:t>https://www.ifrs.org/issued-standards/ifrs-sustainability-standards-navigator/ifrs-s1-general-requirements/</w:t>
        </w:r>
      </w:hyperlink>
      <w:r w:rsidRPr="00B503D9">
        <w:rPr>
          <w:i/>
          <w:iCs/>
        </w:rPr>
        <w:t xml:space="preserve"> </w:t>
      </w:r>
    </w:p>
  </w:footnote>
  <w:footnote w:id="5">
    <w:p w14:paraId="4B1F682D" w14:textId="77777777" w:rsidR="00157082" w:rsidRPr="00B503D9" w:rsidRDefault="00157082" w:rsidP="00157082">
      <w:pPr>
        <w:pStyle w:val="FootnoteText"/>
        <w:rPr>
          <w:i/>
          <w:iCs/>
        </w:rPr>
      </w:pPr>
      <w:r w:rsidRPr="00B503D9">
        <w:rPr>
          <w:rStyle w:val="FootnoteReference"/>
          <w:i/>
          <w:iCs/>
        </w:rPr>
        <w:footnoteRef/>
      </w:r>
      <w:r w:rsidRPr="00B503D9">
        <w:rPr>
          <w:i/>
          <w:iCs/>
        </w:rPr>
        <w:t xml:space="preserve"> </w:t>
      </w:r>
      <w:hyperlink r:id="rId4" w:history="1">
        <w:r w:rsidRPr="00B503D9">
          <w:rPr>
            <w:rStyle w:val="Hyperlink"/>
            <w:i/>
            <w:iCs/>
          </w:rPr>
          <w:t>https://www.ifrs.org/issued-standards/ifrs-sustainability-standards-navigator/ifrs-s2-climate-related-disclosures</w:t>
        </w:r>
      </w:hyperlink>
      <w:r w:rsidRPr="00B503D9">
        <w:rPr>
          <w:i/>
          <w:iCs/>
        </w:rPr>
        <w:t xml:space="preserve"> </w:t>
      </w:r>
    </w:p>
  </w:footnote>
  <w:footnote w:id="6">
    <w:p w14:paraId="0EEC661C" w14:textId="77777777" w:rsidR="00157082" w:rsidRPr="00A028E3" w:rsidRDefault="00157082" w:rsidP="00157082">
      <w:pPr>
        <w:pStyle w:val="FootnoteText"/>
      </w:pPr>
      <w:r w:rsidRPr="00B503D9">
        <w:rPr>
          <w:rStyle w:val="FootnoteReference"/>
          <w:i/>
          <w:iCs/>
        </w:rPr>
        <w:footnoteRef/>
      </w:r>
      <w:r w:rsidRPr="00B503D9">
        <w:rPr>
          <w:i/>
          <w:iCs/>
        </w:rPr>
        <w:t xml:space="preserve"> </w:t>
      </w:r>
      <w:hyperlink r:id="rId5" w:history="1">
        <w:r w:rsidRPr="00B503D9">
          <w:rPr>
            <w:rStyle w:val="Hyperlink"/>
            <w:i/>
            <w:iCs/>
          </w:rPr>
          <w:t>https://www.fsb-tcfd.org/</w:t>
        </w:r>
      </w:hyperlink>
      <w:r>
        <w:t xml:space="preserve"> </w:t>
      </w:r>
    </w:p>
  </w:footnote>
  <w:footnote w:id="7">
    <w:p w14:paraId="47284ECA" w14:textId="2A33B00C" w:rsidR="009F108F" w:rsidRDefault="009F108F" w:rsidP="00B720D9">
      <w:pPr>
        <w:pStyle w:val="FootnoteText"/>
        <w:jc w:val="both"/>
      </w:pPr>
      <w:r>
        <w:rPr>
          <w:rStyle w:val="FootnoteReference"/>
        </w:rPr>
        <w:footnoteRef/>
      </w:r>
      <w:r>
        <w:t xml:space="preserve"> </w:t>
      </w:r>
      <w:r w:rsidRPr="00E21BE7">
        <w:rPr>
          <w:rFonts w:ascii="Arial" w:hAnsi="Arial" w:cs="Arial"/>
          <w:sz w:val="18"/>
          <w:szCs w:val="18"/>
          <w:lang w:val="en-GB"/>
        </w:rPr>
        <w:t xml:space="preserve">This </w:t>
      </w:r>
      <w:r w:rsidR="00B720D9" w:rsidRPr="00E21BE7">
        <w:rPr>
          <w:rFonts w:ascii="Arial" w:hAnsi="Arial" w:cs="Arial"/>
          <w:sz w:val="18"/>
          <w:szCs w:val="18"/>
          <w:lang w:val="en-GB"/>
        </w:rPr>
        <w:t>scenario</w:t>
      </w:r>
      <w:r w:rsidRPr="00E21BE7">
        <w:rPr>
          <w:rFonts w:ascii="Arial" w:hAnsi="Arial" w:cs="Arial"/>
          <w:sz w:val="18"/>
          <w:szCs w:val="18"/>
          <w:lang w:val="en-GB"/>
        </w:rPr>
        <w:t xml:space="preserve"> is developed by the AIM </w:t>
      </w:r>
      <w:r w:rsidR="00B720D9" w:rsidRPr="00E21BE7">
        <w:rPr>
          <w:rFonts w:ascii="Arial" w:hAnsi="Arial" w:cs="Arial"/>
          <w:sz w:val="18"/>
          <w:szCs w:val="18"/>
          <w:lang w:val="en-GB"/>
        </w:rPr>
        <w:t>modelling</w:t>
      </w:r>
      <w:r w:rsidRPr="00E21BE7">
        <w:rPr>
          <w:rFonts w:ascii="Arial" w:hAnsi="Arial" w:cs="Arial"/>
          <w:sz w:val="18"/>
          <w:szCs w:val="18"/>
          <w:lang w:val="en-GB"/>
        </w:rPr>
        <w:t xml:space="preserve"> team at the National Institute for Environmental Studies (NIES), Japan (Fujino et al., 2006; Hijioka et al., 2008). It is a stabilization pathway of time series of emissions and concentrations of the full suite of greenhouse gases and aerosols and chemically active gases, as well as land use/land cover, where total radiative forcing is stabilized at 6.0 W/m2 after 2100 by employing a range of technologies and strategies for reducing greenhouse gas emissions. RCP 6.0 aims for a smooth stabilization of concentrations by 2150. In comparison to the earlier SRES scenarios</w:t>
      </w:r>
      <w:r w:rsidR="00457BC1">
        <w:rPr>
          <w:rFonts w:ascii="Arial" w:hAnsi="Arial" w:cs="Arial"/>
          <w:sz w:val="18"/>
          <w:szCs w:val="18"/>
          <w:lang w:val="en-GB"/>
        </w:rPr>
        <w:t>,</w:t>
      </w:r>
      <w:r w:rsidRPr="00E21BE7">
        <w:rPr>
          <w:rFonts w:ascii="Arial" w:hAnsi="Arial" w:cs="Arial"/>
          <w:sz w:val="18"/>
          <w:szCs w:val="18"/>
          <w:lang w:val="en-GB"/>
        </w:rPr>
        <w:t xml:space="preserve"> RCP6 is close to SRES A1B (more after 2100 than during the 21st century).</w:t>
      </w:r>
    </w:p>
  </w:footnote>
  <w:footnote w:id="8">
    <w:p w14:paraId="2B866BC8" w14:textId="6722CFB0" w:rsidR="00B067F9" w:rsidRPr="00532173" w:rsidRDefault="00B067F9" w:rsidP="00532173">
      <w:pPr>
        <w:pStyle w:val="FootnoteText"/>
        <w:jc w:val="both"/>
        <w:rPr>
          <w:rFonts w:ascii="Arial" w:hAnsi="Arial" w:cs="Arial"/>
          <w:sz w:val="16"/>
          <w:szCs w:val="16"/>
        </w:rPr>
      </w:pPr>
      <w:r w:rsidRPr="00532173">
        <w:rPr>
          <w:rStyle w:val="FootnoteReference"/>
          <w:rFonts w:ascii="Arial" w:hAnsi="Arial" w:cs="Arial"/>
          <w:sz w:val="16"/>
          <w:szCs w:val="16"/>
        </w:rPr>
        <w:footnoteRef/>
      </w:r>
      <w:r w:rsidRPr="00532173">
        <w:rPr>
          <w:rFonts w:ascii="Arial" w:hAnsi="Arial" w:cs="Arial"/>
          <w:sz w:val="16"/>
          <w:szCs w:val="16"/>
        </w:rPr>
        <w:t xml:space="preserve"> CFRF. 2021. </w:t>
      </w:r>
      <w:r w:rsidR="005D14A7" w:rsidRPr="00532173">
        <w:rPr>
          <w:rFonts w:ascii="Arial" w:hAnsi="Arial" w:cs="Arial"/>
          <w:sz w:val="16"/>
          <w:szCs w:val="16"/>
        </w:rPr>
        <w:t>Climate Risk Appetite Statements.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2DCF4DB" w14:textId="26FC7E09" w:rsidR="00991A46" w:rsidRDefault="00000000">
    <w:pPr>
      <w:pStyle w:val="Header"/>
    </w:pPr>
    <w:r>
      <w:rPr>
        <w:noProof/>
      </w:rPr>
      <w:pict w14:anchorId="151F8A4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057584" o:spid="_x0000_s1027" type="#_x0000_t136" style="position:absolute;margin-left:0;margin-top:0;width:446.45pt;height:189.4pt;rotation:315;z-index:-251658239;mso-wrap-edited:f;mso-position-horizontal:center;mso-position-horizontal-relative:margin;mso-position-vertical:center;mso-position-vertical-relative:margin" o:allowincell="f" fillcolor="silver" stroked="f">
          <v:textpath style="font-family:&quot;Calibri&quot;;font-size:1pt;font-weight:bold" string="DRAF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FA1C795" w14:textId="147BC95F" w:rsidR="00991A46" w:rsidRDefault="00000000">
    <w:pPr>
      <w:pStyle w:val="Header"/>
    </w:pPr>
    <w:r>
      <w:rPr>
        <w:noProof/>
      </w:rPr>
      <w:pict w14:anchorId="0FA4776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057585" o:spid="_x0000_s1026" type="#_x0000_t136" style="position:absolute;margin-left:0;margin-top:0;width:446.45pt;height:189.4pt;rotation:315;z-index:-251658238;mso-wrap-edited:f;mso-position-horizontal:center;mso-position-horizontal-relative:margin;mso-position-vertical:center;mso-position-vertical-relative:margin" o:allowincell="f" fillcolor="silver" stroked="f">
          <v:textpath style="font-family:&quot;Calibri&quot;;font-size:1pt;font-weight:bold" string="DRAFT"/>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25D73C6" w14:textId="3025EB3D" w:rsidR="00991A46" w:rsidRDefault="00000000">
    <w:pPr>
      <w:pStyle w:val="Header"/>
    </w:pPr>
    <w:r>
      <w:rPr>
        <w:noProof/>
      </w:rPr>
      <w:pict w14:anchorId="22B7AB7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057583" o:spid="_x0000_s1025" type="#_x0000_t136" style="position:absolute;margin-left:0;margin-top:0;width:446.45pt;height:189.4pt;rotation:315;z-index:-251658240;mso-wrap-edited:f;mso-position-horizontal:center;mso-position-horizontal-relative:margin;mso-position-vertical:center;mso-position-vertical-relative:margin" o:allowincell="f" fillcolor="silver" stroked="f">
          <v:textpath style="font-family:&quot;Calibri&quot;;font-size:1pt;font-weight:bold" string="DRAF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34636EE"/>
    <w:multiLevelType w:val="hybridMultilevel"/>
    <w:tmpl w:val="806AFDD8"/>
    <w:lvl w:ilvl="0" w:tplc="2F5E7DF8">
      <w:start w:val="1"/>
      <w:numFmt w:val="bullet"/>
      <w:lvlText w:val="•"/>
      <w:lvlJc w:val="left"/>
      <w:pPr>
        <w:tabs>
          <w:tab w:val="num" w:pos="720"/>
        </w:tabs>
        <w:ind w:left="720" w:hanging="360"/>
      </w:pPr>
      <w:rPr>
        <w:rFonts w:ascii="Arial" w:hAnsi="Arial" w:hint="default"/>
      </w:rPr>
    </w:lvl>
    <w:lvl w:ilvl="1" w:tplc="F048B61E">
      <w:numFmt w:val="bullet"/>
      <w:lvlText w:val="ü"/>
      <w:lvlJc w:val="left"/>
      <w:pPr>
        <w:tabs>
          <w:tab w:val="num" w:pos="1440"/>
        </w:tabs>
        <w:ind w:left="1440" w:hanging="360"/>
      </w:pPr>
      <w:rPr>
        <w:rFonts w:ascii="Wingdings" w:hAnsi="Wingdings" w:hint="default"/>
      </w:rPr>
    </w:lvl>
    <w:lvl w:ilvl="2" w:tplc="2ED4E838" w:tentative="1">
      <w:start w:val="1"/>
      <w:numFmt w:val="bullet"/>
      <w:lvlText w:val="•"/>
      <w:lvlJc w:val="left"/>
      <w:pPr>
        <w:tabs>
          <w:tab w:val="num" w:pos="2160"/>
        </w:tabs>
        <w:ind w:left="2160" w:hanging="360"/>
      </w:pPr>
      <w:rPr>
        <w:rFonts w:ascii="Arial" w:hAnsi="Arial" w:hint="default"/>
      </w:rPr>
    </w:lvl>
    <w:lvl w:ilvl="3" w:tplc="5762B382" w:tentative="1">
      <w:start w:val="1"/>
      <w:numFmt w:val="bullet"/>
      <w:lvlText w:val="•"/>
      <w:lvlJc w:val="left"/>
      <w:pPr>
        <w:tabs>
          <w:tab w:val="num" w:pos="2880"/>
        </w:tabs>
        <w:ind w:left="2880" w:hanging="360"/>
      </w:pPr>
      <w:rPr>
        <w:rFonts w:ascii="Arial" w:hAnsi="Arial" w:hint="default"/>
      </w:rPr>
    </w:lvl>
    <w:lvl w:ilvl="4" w:tplc="06C2992C" w:tentative="1">
      <w:start w:val="1"/>
      <w:numFmt w:val="bullet"/>
      <w:lvlText w:val="•"/>
      <w:lvlJc w:val="left"/>
      <w:pPr>
        <w:tabs>
          <w:tab w:val="num" w:pos="3600"/>
        </w:tabs>
        <w:ind w:left="3600" w:hanging="360"/>
      </w:pPr>
      <w:rPr>
        <w:rFonts w:ascii="Arial" w:hAnsi="Arial" w:hint="default"/>
      </w:rPr>
    </w:lvl>
    <w:lvl w:ilvl="5" w:tplc="AB66D9E6" w:tentative="1">
      <w:start w:val="1"/>
      <w:numFmt w:val="bullet"/>
      <w:lvlText w:val="•"/>
      <w:lvlJc w:val="left"/>
      <w:pPr>
        <w:tabs>
          <w:tab w:val="num" w:pos="4320"/>
        </w:tabs>
        <w:ind w:left="4320" w:hanging="360"/>
      </w:pPr>
      <w:rPr>
        <w:rFonts w:ascii="Arial" w:hAnsi="Arial" w:hint="default"/>
      </w:rPr>
    </w:lvl>
    <w:lvl w:ilvl="6" w:tplc="FBF464D2" w:tentative="1">
      <w:start w:val="1"/>
      <w:numFmt w:val="bullet"/>
      <w:lvlText w:val="•"/>
      <w:lvlJc w:val="left"/>
      <w:pPr>
        <w:tabs>
          <w:tab w:val="num" w:pos="5040"/>
        </w:tabs>
        <w:ind w:left="5040" w:hanging="360"/>
      </w:pPr>
      <w:rPr>
        <w:rFonts w:ascii="Arial" w:hAnsi="Arial" w:hint="default"/>
      </w:rPr>
    </w:lvl>
    <w:lvl w:ilvl="7" w:tplc="5D5CE48C" w:tentative="1">
      <w:start w:val="1"/>
      <w:numFmt w:val="bullet"/>
      <w:lvlText w:val="•"/>
      <w:lvlJc w:val="left"/>
      <w:pPr>
        <w:tabs>
          <w:tab w:val="num" w:pos="5760"/>
        </w:tabs>
        <w:ind w:left="5760" w:hanging="360"/>
      </w:pPr>
      <w:rPr>
        <w:rFonts w:ascii="Arial" w:hAnsi="Arial" w:hint="default"/>
      </w:rPr>
    </w:lvl>
    <w:lvl w:ilvl="8" w:tplc="5122FEE2"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06B87AFD"/>
    <w:multiLevelType w:val="hybridMultilevel"/>
    <w:tmpl w:val="0E869B9E"/>
    <w:lvl w:ilvl="0" w:tplc="0409001B">
      <w:start w:val="1"/>
      <w:numFmt w:val="low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C171208"/>
    <w:multiLevelType w:val="hybridMultilevel"/>
    <w:tmpl w:val="F4FCF0B4"/>
    <w:lvl w:ilvl="0" w:tplc="7206EAAE">
      <w:start w:val="5"/>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DA81E4F"/>
    <w:multiLevelType w:val="hybridMultilevel"/>
    <w:tmpl w:val="68808B06"/>
    <w:lvl w:ilvl="0" w:tplc="08090001">
      <w:start w:val="1"/>
      <w:numFmt w:val="bullet"/>
      <w:lvlText w:val=""/>
      <w:lvlJc w:val="left"/>
      <w:pPr>
        <w:ind w:left="360" w:hanging="360"/>
      </w:pPr>
      <w:rPr>
        <w:rFonts w:ascii="Symbol" w:hAnsi="Symbol" w:hint="default"/>
      </w:rPr>
    </w:lvl>
    <w:lvl w:ilvl="1" w:tplc="FFFFFFFF">
      <w:start w:val="1"/>
      <w:numFmt w:val="bullet"/>
      <w:lvlText w:val=""/>
      <w:lvlJc w:val="left"/>
      <w:pPr>
        <w:ind w:left="1080" w:hanging="360"/>
      </w:pPr>
      <w:rPr>
        <w:rFonts w:ascii="Symbol" w:hAnsi="Symbol" w:hint="default"/>
      </w:rPr>
    </w:lvl>
    <w:lvl w:ilvl="2" w:tplc="FFFFFFFF">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4" w15:restartNumberingAfterBreak="0">
    <w:nsid w:val="1204641C"/>
    <w:multiLevelType w:val="hybridMultilevel"/>
    <w:tmpl w:val="8666578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14E67F63"/>
    <w:multiLevelType w:val="hybridMultilevel"/>
    <w:tmpl w:val="84F4F4C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B2B0745"/>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 w15:restartNumberingAfterBreak="0">
    <w:nsid w:val="1BD448F0"/>
    <w:multiLevelType w:val="multilevel"/>
    <w:tmpl w:val="D37E3858"/>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8" w15:restartNumberingAfterBreak="0">
    <w:nsid w:val="1CBE555D"/>
    <w:multiLevelType w:val="hybridMultilevel"/>
    <w:tmpl w:val="48B0EF98"/>
    <w:lvl w:ilvl="0" w:tplc="7206EAAE">
      <w:start w:val="5"/>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23E96923"/>
    <w:multiLevelType w:val="hybridMultilevel"/>
    <w:tmpl w:val="73FA9E16"/>
    <w:lvl w:ilvl="0" w:tplc="7206EAAE">
      <w:start w:val="5"/>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24F20212"/>
    <w:multiLevelType w:val="hybridMultilevel"/>
    <w:tmpl w:val="2C08B4C8"/>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15:restartNumberingAfterBreak="0">
    <w:nsid w:val="257C487F"/>
    <w:multiLevelType w:val="hybridMultilevel"/>
    <w:tmpl w:val="D89A33E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25D62B1C"/>
    <w:multiLevelType w:val="hybridMultilevel"/>
    <w:tmpl w:val="0F8E006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 w15:restartNumberingAfterBreak="0">
    <w:nsid w:val="29862DB3"/>
    <w:multiLevelType w:val="hybridMultilevel"/>
    <w:tmpl w:val="B8202EA0"/>
    <w:lvl w:ilvl="0" w:tplc="0809000F">
      <w:start w:val="1"/>
      <w:numFmt w:val="decimal"/>
      <w:lvlText w:val="%1."/>
      <w:lvlJc w:val="left"/>
      <w:pPr>
        <w:ind w:left="718" w:hanging="360"/>
      </w:pPr>
    </w:lvl>
    <w:lvl w:ilvl="1" w:tplc="08090019" w:tentative="1">
      <w:start w:val="1"/>
      <w:numFmt w:val="lowerLetter"/>
      <w:lvlText w:val="%2."/>
      <w:lvlJc w:val="left"/>
      <w:pPr>
        <w:ind w:left="1438" w:hanging="360"/>
      </w:pPr>
    </w:lvl>
    <w:lvl w:ilvl="2" w:tplc="0809001B" w:tentative="1">
      <w:start w:val="1"/>
      <w:numFmt w:val="lowerRoman"/>
      <w:lvlText w:val="%3."/>
      <w:lvlJc w:val="right"/>
      <w:pPr>
        <w:ind w:left="2158" w:hanging="180"/>
      </w:pPr>
    </w:lvl>
    <w:lvl w:ilvl="3" w:tplc="0809000F" w:tentative="1">
      <w:start w:val="1"/>
      <w:numFmt w:val="decimal"/>
      <w:lvlText w:val="%4."/>
      <w:lvlJc w:val="left"/>
      <w:pPr>
        <w:ind w:left="2878" w:hanging="360"/>
      </w:pPr>
    </w:lvl>
    <w:lvl w:ilvl="4" w:tplc="08090019" w:tentative="1">
      <w:start w:val="1"/>
      <w:numFmt w:val="lowerLetter"/>
      <w:lvlText w:val="%5."/>
      <w:lvlJc w:val="left"/>
      <w:pPr>
        <w:ind w:left="3598" w:hanging="360"/>
      </w:pPr>
    </w:lvl>
    <w:lvl w:ilvl="5" w:tplc="0809001B" w:tentative="1">
      <w:start w:val="1"/>
      <w:numFmt w:val="lowerRoman"/>
      <w:lvlText w:val="%6."/>
      <w:lvlJc w:val="right"/>
      <w:pPr>
        <w:ind w:left="4318" w:hanging="180"/>
      </w:pPr>
    </w:lvl>
    <w:lvl w:ilvl="6" w:tplc="0809000F" w:tentative="1">
      <w:start w:val="1"/>
      <w:numFmt w:val="decimal"/>
      <w:lvlText w:val="%7."/>
      <w:lvlJc w:val="left"/>
      <w:pPr>
        <w:ind w:left="5038" w:hanging="360"/>
      </w:pPr>
    </w:lvl>
    <w:lvl w:ilvl="7" w:tplc="08090019" w:tentative="1">
      <w:start w:val="1"/>
      <w:numFmt w:val="lowerLetter"/>
      <w:lvlText w:val="%8."/>
      <w:lvlJc w:val="left"/>
      <w:pPr>
        <w:ind w:left="5758" w:hanging="360"/>
      </w:pPr>
    </w:lvl>
    <w:lvl w:ilvl="8" w:tplc="0809001B" w:tentative="1">
      <w:start w:val="1"/>
      <w:numFmt w:val="lowerRoman"/>
      <w:lvlText w:val="%9."/>
      <w:lvlJc w:val="right"/>
      <w:pPr>
        <w:ind w:left="6478" w:hanging="180"/>
      </w:pPr>
    </w:lvl>
  </w:abstractNum>
  <w:abstractNum w:abstractNumId="14" w15:restartNumberingAfterBreak="0">
    <w:nsid w:val="2E687A05"/>
    <w:multiLevelType w:val="hybridMultilevel"/>
    <w:tmpl w:val="525C2CC0"/>
    <w:lvl w:ilvl="0" w:tplc="7206EAAE">
      <w:start w:val="5"/>
      <w:numFmt w:val="bullet"/>
      <w:lvlText w:val="-"/>
      <w:lvlJc w:val="left"/>
      <w:pPr>
        <w:ind w:left="360" w:hanging="360"/>
      </w:pPr>
      <w:rPr>
        <w:rFonts w:ascii="Arial" w:eastAsia="Times New Roman" w:hAnsi="Arial" w:cs="Arial" w:hint="default"/>
      </w:rPr>
    </w:lvl>
    <w:lvl w:ilvl="1" w:tplc="FFFFFFFF" w:tentative="1">
      <w:start w:val="1"/>
      <w:numFmt w:val="bullet"/>
      <w:lvlText w:val="o"/>
      <w:lvlJc w:val="left"/>
      <w:pPr>
        <w:ind w:left="720" w:hanging="360"/>
      </w:pPr>
      <w:rPr>
        <w:rFonts w:ascii="Courier New" w:hAnsi="Courier New" w:cs="Courier New" w:hint="default"/>
      </w:rPr>
    </w:lvl>
    <w:lvl w:ilvl="2" w:tplc="FFFFFFFF" w:tentative="1">
      <w:start w:val="1"/>
      <w:numFmt w:val="bullet"/>
      <w:lvlText w:val=""/>
      <w:lvlJc w:val="left"/>
      <w:pPr>
        <w:ind w:left="1440" w:hanging="360"/>
      </w:pPr>
      <w:rPr>
        <w:rFonts w:ascii="Wingdings" w:hAnsi="Wingdings" w:hint="default"/>
      </w:rPr>
    </w:lvl>
    <w:lvl w:ilvl="3" w:tplc="FFFFFFFF" w:tentative="1">
      <w:start w:val="1"/>
      <w:numFmt w:val="bullet"/>
      <w:lvlText w:val=""/>
      <w:lvlJc w:val="left"/>
      <w:pPr>
        <w:ind w:left="2160" w:hanging="360"/>
      </w:pPr>
      <w:rPr>
        <w:rFonts w:ascii="Symbol" w:hAnsi="Symbol" w:hint="default"/>
      </w:rPr>
    </w:lvl>
    <w:lvl w:ilvl="4" w:tplc="FFFFFFFF" w:tentative="1">
      <w:start w:val="1"/>
      <w:numFmt w:val="bullet"/>
      <w:lvlText w:val="o"/>
      <w:lvlJc w:val="left"/>
      <w:pPr>
        <w:ind w:left="2880" w:hanging="360"/>
      </w:pPr>
      <w:rPr>
        <w:rFonts w:ascii="Courier New" w:hAnsi="Courier New" w:cs="Courier New" w:hint="default"/>
      </w:rPr>
    </w:lvl>
    <w:lvl w:ilvl="5" w:tplc="FFFFFFFF" w:tentative="1">
      <w:start w:val="1"/>
      <w:numFmt w:val="bullet"/>
      <w:lvlText w:val=""/>
      <w:lvlJc w:val="left"/>
      <w:pPr>
        <w:ind w:left="3600" w:hanging="360"/>
      </w:pPr>
      <w:rPr>
        <w:rFonts w:ascii="Wingdings" w:hAnsi="Wingdings" w:hint="default"/>
      </w:rPr>
    </w:lvl>
    <w:lvl w:ilvl="6" w:tplc="FFFFFFFF" w:tentative="1">
      <w:start w:val="1"/>
      <w:numFmt w:val="bullet"/>
      <w:lvlText w:val=""/>
      <w:lvlJc w:val="left"/>
      <w:pPr>
        <w:ind w:left="4320" w:hanging="360"/>
      </w:pPr>
      <w:rPr>
        <w:rFonts w:ascii="Symbol" w:hAnsi="Symbol" w:hint="default"/>
      </w:rPr>
    </w:lvl>
    <w:lvl w:ilvl="7" w:tplc="FFFFFFFF" w:tentative="1">
      <w:start w:val="1"/>
      <w:numFmt w:val="bullet"/>
      <w:lvlText w:val="o"/>
      <w:lvlJc w:val="left"/>
      <w:pPr>
        <w:ind w:left="5040" w:hanging="360"/>
      </w:pPr>
      <w:rPr>
        <w:rFonts w:ascii="Courier New" w:hAnsi="Courier New" w:cs="Courier New" w:hint="default"/>
      </w:rPr>
    </w:lvl>
    <w:lvl w:ilvl="8" w:tplc="FFFFFFFF" w:tentative="1">
      <w:start w:val="1"/>
      <w:numFmt w:val="bullet"/>
      <w:lvlText w:val=""/>
      <w:lvlJc w:val="left"/>
      <w:pPr>
        <w:ind w:left="5760" w:hanging="360"/>
      </w:pPr>
      <w:rPr>
        <w:rFonts w:ascii="Wingdings" w:hAnsi="Wingdings" w:hint="default"/>
      </w:rPr>
    </w:lvl>
  </w:abstractNum>
  <w:abstractNum w:abstractNumId="15" w15:restartNumberingAfterBreak="0">
    <w:nsid w:val="31D32B0A"/>
    <w:multiLevelType w:val="hybridMultilevel"/>
    <w:tmpl w:val="37004488"/>
    <w:lvl w:ilvl="0" w:tplc="7206EAAE">
      <w:start w:val="5"/>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335331F9"/>
    <w:multiLevelType w:val="hybridMultilevel"/>
    <w:tmpl w:val="D62254D0"/>
    <w:lvl w:ilvl="0" w:tplc="19A8839C">
      <w:start w:val="1"/>
      <w:numFmt w:val="bullet"/>
      <w:lvlText w:val="•"/>
      <w:lvlJc w:val="left"/>
      <w:pPr>
        <w:tabs>
          <w:tab w:val="num" w:pos="720"/>
        </w:tabs>
        <w:ind w:left="720" w:hanging="360"/>
      </w:pPr>
      <w:rPr>
        <w:rFonts w:ascii="Arial" w:hAnsi="Arial" w:hint="default"/>
      </w:rPr>
    </w:lvl>
    <w:lvl w:ilvl="1" w:tplc="6F6C1A10" w:tentative="1">
      <w:start w:val="1"/>
      <w:numFmt w:val="bullet"/>
      <w:lvlText w:val="•"/>
      <w:lvlJc w:val="left"/>
      <w:pPr>
        <w:tabs>
          <w:tab w:val="num" w:pos="1440"/>
        </w:tabs>
        <w:ind w:left="1440" w:hanging="360"/>
      </w:pPr>
      <w:rPr>
        <w:rFonts w:ascii="Arial" w:hAnsi="Arial" w:hint="default"/>
      </w:rPr>
    </w:lvl>
    <w:lvl w:ilvl="2" w:tplc="3DECDE02" w:tentative="1">
      <w:start w:val="1"/>
      <w:numFmt w:val="bullet"/>
      <w:lvlText w:val="•"/>
      <w:lvlJc w:val="left"/>
      <w:pPr>
        <w:tabs>
          <w:tab w:val="num" w:pos="2160"/>
        </w:tabs>
        <w:ind w:left="2160" w:hanging="360"/>
      </w:pPr>
      <w:rPr>
        <w:rFonts w:ascii="Arial" w:hAnsi="Arial" w:hint="default"/>
      </w:rPr>
    </w:lvl>
    <w:lvl w:ilvl="3" w:tplc="7F28B532" w:tentative="1">
      <w:start w:val="1"/>
      <w:numFmt w:val="bullet"/>
      <w:lvlText w:val="•"/>
      <w:lvlJc w:val="left"/>
      <w:pPr>
        <w:tabs>
          <w:tab w:val="num" w:pos="2880"/>
        </w:tabs>
        <w:ind w:left="2880" w:hanging="360"/>
      </w:pPr>
      <w:rPr>
        <w:rFonts w:ascii="Arial" w:hAnsi="Arial" w:hint="default"/>
      </w:rPr>
    </w:lvl>
    <w:lvl w:ilvl="4" w:tplc="E91C6C2A" w:tentative="1">
      <w:start w:val="1"/>
      <w:numFmt w:val="bullet"/>
      <w:lvlText w:val="•"/>
      <w:lvlJc w:val="left"/>
      <w:pPr>
        <w:tabs>
          <w:tab w:val="num" w:pos="3600"/>
        </w:tabs>
        <w:ind w:left="3600" w:hanging="360"/>
      </w:pPr>
      <w:rPr>
        <w:rFonts w:ascii="Arial" w:hAnsi="Arial" w:hint="default"/>
      </w:rPr>
    </w:lvl>
    <w:lvl w:ilvl="5" w:tplc="FA508F76" w:tentative="1">
      <w:start w:val="1"/>
      <w:numFmt w:val="bullet"/>
      <w:lvlText w:val="•"/>
      <w:lvlJc w:val="left"/>
      <w:pPr>
        <w:tabs>
          <w:tab w:val="num" w:pos="4320"/>
        </w:tabs>
        <w:ind w:left="4320" w:hanging="360"/>
      </w:pPr>
      <w:rPr>
        <w:rFonts w:ascii="Arial" w:hAnsi="Arial" w:hint="default"/>
      </w:rPr>
    </w:lvl>
    <w:lvl w:ilvl="6" w:tplc="3AA64AD8" w:tentative="1">
      <w:start w:val="1"/>
      <w:numFmt w:val="bullet"/>
      <w:lvlText w:val="•"/>
      <w:lvlJc w:val="left"/>
      <w:pPr>
        <w:tabs>
          <w:tab w:val="num" w:pos="5040"/>
        </w:tabs>
        <w:ind w:left="5040" w:hanging="360"/>
      </w:pPr>
      <w:rPr>
        <w:rFonts w:ascii="Arial" w:hAnsi="Arial" w:hint="default"/>
      </w:rPr>
    </w:lvl>
    <w:lvl w:ilvl="7" w:tplc="A0183148" w:tentative="1">
      <w:start w:val="1"/>
      <w:numFmt w:val="bullet"/>
      <w:lvlText w:val="•"/>
      <w:lvlJc w:val="left"/>
      <w:pPr>
        <w:tabs>
          <w:tab w:val="num" w:pos="5760"/>
        </w:tabs>
        <w:ind w:left="5760" w:hanging="360"/>
      </w:pPr>
      <w:rPr>
        <w:rFonts w:ascii="Arial" w:hAnsi="Arial" w:hint="default"/>
      </w:rPr>
    </w:lvl>
    <w:lvl w:ilvl="8" w:tplc="16566806" w:tentative="1">
      <w:start w:val="1"/>
      <w:numFmt w:val="bullet"/>
      <w:lvlText w:val="•"/>
      <w:lvlJc w:val="left"/>
      <w:pPr>
        <w:tabs>
          <w:tab w:val="num" w:pos="6480"/>
        </w:tabs>
        <w:ind w:left="6480" w:hanging="360"/>
      </w:pPr>
      <w:rPr>
        <w:rFonts w:ascii="Arial" w:hAnsi="Arial" w:hint="default"/>
      </w:rPr>
    </w:lvl>
  </w:abstractNum>
  <w:abstractNum w:abstractNumId="17" w15:restartNumberingAfterBreak="0">
    <w:nsid w:val="35C51266"/>
    <w:multiLevelType w:val="hybridMultilevel"/>
    <w:tmpl w:val="7C38063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37406369"/>
    <w:multiLevelType w:val="hybridMultilevel"/>
    <w:tmpl w:val="1E56353C"/>
    <w:lvl w:ilvl="0" w:tplc="7206EAAE">
      <w:start w:val="5"/>
      <w:numFmt w:val="bullet"/>
      <w:lvlText w:val="-"/>
      <w:lvlJc w:val="left"/>
      <w:pPr>
        <w:ind w:left="360" w:hanging="360"/>
      </w:pPr>
      <w:rPr>
        <w:rFonts w:ascii="Arial" w:eastAsia="Times New Roman" w:hAnsi="Arial" w:cs="Aria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9" w15:restartNumberingAfterBreak="0">
    <w:nsid w:val="3A0334E7"/>
    <w:multiLevelType w:val="hybridMultilevel"/>
    <w:tmpl w:val="8C46ED2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40123C0B"/>
    <w:multiLevelType w:val="hybridMultilevel"/>
    <w:tmpl w:val="5C7A33EE"/>
    <w:lvl w:ilvl="0" w:tplc="20000001">
      <w:start w:val="1"/>
      <w:numFmt w:val="bullet"/>
      <w:lvlText w:val=""/>
      <w:lvlJc w:val="left"/>
      <w:pPr>
        <w:ind w:left="360" w:hanging="360"/>
      </w:pPr>
      <w:rPr>
        <w:rFonts w:ascii="Symbol" w:hAnsi="Symbol" w:hint="default"/>
      </w:rPr>
    </w:lvl>
    <w:lvl w:ilvl="1" w:tplc="20000003" w:tentative="1">
      <w:start w:val="1"/>
      <w:numFmt w:val="bullet"/>
      <w:lvlText w:val="o"/>
      <w:lvlJc w:val="left"/>
      <w:pPr>
        <w:ind w:left="1080" w:hanging="360"/>
      </w:pPr>
      <w:rPr>
        <w:rFonts w:ascii="Courier New" w:hAnsi="Courier New" w:cs="Courier New" w:hint="default"/>
      </w:rPr>
    </w:lvl>
    <w:lvl w:ilvl="2" w:tplc="20000005" w:tentative="1">
      <w:start w:val="1"/>
      <w:numFmt w:val="bullet"/>
      <w:lvlText w:val=""/>
      <w:lvlJc w:val="left"/>
      <w:pPr>
        <w:ind w:left="1800" w:hanging="360"/>
      </w:pPr>
      <w:rPr>
        <w:rFonts w:ascii="Wingdings" w:hAnsi="Wingdings" w:hint="default"/>
      </w:rPr>
    </w:lvl>
    <w:lvl w:ilvl="3" w:tplc="20000001" w:tentative="1">
      <w:start w:val="1"/>
      <w:numFmt w:val="bullet"/>
      <w:lvlText w:val=""/>
      <w:lvlJc w:val="left"/>
      <w:pPr>
        <w:ind w:left="2520" w:hanging="360"/>
      </w:pPr>
      <w:rPr>
        <w:rFonts w:ascii="Symbol" w:hAnsi="Symbol" w:hint="default"/>
      </w:rPr>
    </w:lvl>
    <w:lvl w:ilvl="4" w:tplc="20000003" w:tentative="1">
      <w:start w:val="1"/>
      <w:numFmt w:val="bullet"/>
      <w:lvlText w:val="o"/>
      <w:lvlJc w:val="left"/>
      <w:pPr>
        <w:ind w:left="3240" w:hanging="360"/>
      </w:pPr>
      <w:rPr>
        <w:rFonts w:ascii="Courier New" w:hAnsi="Courier New" w:cs="Courier New" w:hint="default"/>
      </w:rPr>
    </w:lvl>
    <w:lvl w:ilvl="5" w:tplc="20000005" w:tentative="1">
      <w:start w:val="1"/>
      <w:numFmt w:val="bullet"/>
      <w:lvlText w:val=""/>
      <w:lvlJc w:val="left"/>
      <w:pPr>
        <w:ind w:left="3960" w:hanging="360"/>
      </w:pPr>
      <w:rPr>
        <w:rFonts w:ascii="Wingdings" w:hAnsi="Wingdings" w:hint="default"/>
      </w:rPr>
    </w:lvl>
    <w:lvl w:ilvl="6" w:tplc="20000001" w:tentative="1">
      <w:start w:val="1"/>
      <w:numFmt w:val="bullet"/>
      <w:lvlText w:val=""/>
      <w:lvlJc w:val="left"/>
      <w:pPr>
        <w:ind w:left="4680" w:hanging="360"/>
      </w:pPr>
      <w:rPr>
        <w:rFonts w:ascii="Symbol" w:hAnsi="Symbol" w:hint="default"/>
      </w:rPr>
    </w:lvl>
    <w:lvl w:ilvl="7" w:tplc="20000003" w:tentative="1">
      <w:start w:val="1"/>
      <w:numFmt w:val="bullet"/>
      <w:lvlText w:val="o"/>
      <w:lvlJc w:val="left"/>
      <w:pPr>
        <w:ind w:left="5400" w:hanging="360"/>
      </w:pPr>
      <w:rPr>
        <w:rFonts w:ascii="Courier New" w:hAnsi="Courier New" w:cs="Courier New" w:hint="default"/>
      </w:rPr>
    </w:lvl>
    <w:lvl w:ilvl="8" w:tplc="20000005" w:tentative="1">
      <w:start w:val="1"/>
      <w:numFmt w:val="bullet"/>
      <w:lvlText w:val=""/>
      <w:lvlJc w:val="left"/>
      <w:pPr>
        <w:ind w:left="6120" w:hanging="360"/>
      </w:pPr>
      <w:rPr>
        <w:rFonts w:ascii="Wingdings" w:hAnsi="Wingdings" w:hint="default"/>
      </w:rPr>
    </w:lvl>
  </w:abstractNum>
  <w:abstractNum w:abstractNumId="21" w15:restartNumberingAfterBreak="0">
    <w:nsid w:val="49447B79"/>
    <w:multiLevelType w:val="hybridMultilevel"/>
    <w:tmpl w:val="5890DE20"/>
    <w:lvl w:ilvl="0" w:tplc="C68C71BE">
      <w:numFmt w:val="bullet"/>
      <w:lvlText w:val="–"/>
      <w:lvlJc w:val="left"/>
      <w:pPr>
        <w:ind w:left="360" w:hanging="360"/>
      </w:pPr>
      <w:rPr>
        <w:rFonts w:ascii="Verdana" w:eastAsia="Verdana" w:hAnsi="Verdana" w:cs="Verdana" w:hint="default"/>
        <w:w w:val="94"/>
        <w:sz w:val="16"/>
        <w:szCs w:val="16"/>
        <w:lang w:val="en-US" w:eastAsia="en-US" w:bidi="ar-SA"/>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2" w15:restartNumberingAfterBreak="0">
    <w:nsid w:val="4CE53A28"/>
    <w:multiLevelType w:val="hybridMultilevel"/>
    <w:tmpl w:val="7EDEAD68"/>
    <w:lvl w:ilvl="0" w:tplc="7206EAAE">
      <w:start w:val="5"/>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4EFF4D2D"/>
    <w:multiLevelType w:val="hybridMultilevel"/>
    <w:tmpl w:val="87FC6184"/>
    <w:lvl w:ilvl="0" w:tplc="7206EAAE">
      <w:start w:val="5"/>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525D0BA9"/>
    <w:multiLevelType w:val="hybridMultilevel"/>
    <w:tmpl w:val="053C39E8"/>
    <w:lvl w:ilvl="0" w:tplc="7206EAAE">
      <w:start w:val="5"/>
      <w:numFmt w:val="bullet"/>
      <w:lvlText w:val="-"/>
      <w:lvlJc w:val="left"/>
      <w:pPr>
        <w:ind w:left="360" w:hanging="360"/>
      </w:pPr>
      <w:rPr>
        <w:rFonts w:ascii="Arial" w:eastAsia="Times New Roman" w:hAnsi="Arial" w:cs="Aria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5" w15:restartNumberingAfterBreak="0">
    <w:nsid w:val="52C342E2"/>
    <w:multiLevelType w:val="hybridMultilevel"/>
    <w:tmpl w:val="81C000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57996288"/>
    <w:multiLevelType w:val="hybridMultilevel"/>
    <w:tmpl w:val="7D2460BC"/>
    <w:lvl w:ilvl="0" w:tplc="7206EAAE">
      <w:start w:val="5"/>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5D722A93"/>
    <w:multiLevelType w:val="hybridMultilevel"/>
    <w:tmpl w:val="46581960"/>
    <w:lvl w:ilvl="0" w:tplc="7206EAAE">
      <w:start w:val="5"/>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01A0D32"/>
    <w:multiLevelType w:val="hybridMultilevel"/>
    <w:tmpl w:val="DE805320"/>
    <w:lvl w:ilvl="0" w:tplc="7206EAAE">
      <w:start w:val="5"/>
      <w:numFmt w:val="bullet"/>
      <w:lvlText w:val="-"/>
      <w:lvlJc w:val="left"/>
      <w:pPr>
        <w:ind w:left="720" w:hanging="360"/>
      </w:pPr>
      <w:rPr>
        <w:rFonts w:ascii="Arial" w:eastAsia="Times New Roman" w:hAnsi="Arial" w:cs="Aria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61CA471C"/>
    <w:multiLevelType w:val="hybridMultilevel"/>
    <w:tmpl w:val="890032DA"/>
    <w:lvl w:ilvl="0" w:tplc="378C4BC8">
      <w:start w:val="1"/>
      <w:numFmt w:val="bullet"/>
      <w:lvlText w:val="•"/>
      <w:lvlJc w:val="left"/>
      <w:pPr>
        <w:tabs>
          <w:tab w:val="num" w:pos="720"/>
        </w:tabs>
        <w:ind w:left="720" w:hanging="360"/>
      </w:pPr>
      <w:rPr>
        <w:rFonts w:ascii="Arial" w:hAnsi="Arial" w:hint="default"/>
      </w:rPr>
    </w:lvl>
    <w:lvl w:ilvl="1" w:tplc="B9489028" w:tentative="1">
      <w:start w:val="1"/>
      <w:numFmt w:val="bullet"/>
      <w:lvlText w:val="•"/>
      <w:lvlJc w:val="left"/>
      <w:pPr>
        <w:tabs>
          <w:tab w:val="num" w:pos="1440"/>
        </w:tabs>
        <w:ind w:left="1440" w:hanging="360"/>
      </w:pPr>
      <w:rPr>
        <w:rFonts w:ascii="Arial" w:hAnsi="Arial" w:hint="default"/>
      </w:rPr>
    </w:lvl>
    <w:lvl w:ilvl="2" w:tplc="E43C7B7C" w:tentative="1">
      <w:start w:val="1"/>
      <w:numFmt w:val="bullet"/>
      <w:lvlText w:val="•"/>
      <w:lvlJc w:val="left"/>
      <w:pPr>
        <w:tabs>
          <w:tab w:val="num" w:pos="2160"/>
        </w:tabs>
        <w:ind w:left="2160" w:hanging="360"/>
      </w:pPr>
      <w:rPr>
        <w:rFonts w:ascii="Arial" w:hAnsi="Arial" w:hint="default"/>
      </w:rPr>
    </w:lvl>
    <w:lvl w:ilvl="3" w:tplc="AAB44B42" w:tentative="1">
      <w:start w:val="1"/>
      <w:numFmt w:val="bullet"/>
      <w:lvlText w:val="•"/>
      <w:lvlJc w:val="left"/>
      <w:pPr>
        <w:tabs>
          <w:tab w:val="num" w:pos="2880"/>
        </w:tabs>
        <w:ind w:left="2880" w:hanging="360"/>
      </w:pPr>
      <w:rPr>
        <w:rFonts w:ascii="Arial" w:hAnsi="Arial" w:hint="default"/>
      </w:rPr>
    </w:lvl>
    <w:lvl w:ilvl="4" w:tplc="951CF898" w:tentative="1">
      <w:start w:val="1"/>
      <w:numFmt w:val="bullet"/>
      <w:lvlText w:val="•"/>
      <w:lvlJc w:val="left"/>
      <w:pPr>
        <w:tabs>
          <w:tab w:val="num" w:pos="3600"/>
        </w:tabs>
        <w:ind w:left="3600" w:hanging="360"/>
      </w:pPr>
      <w:rPr>
        <w:rFonts w:ascii="Arial" w:hAnsi="Arial" w:hint="default"/>
      </w:rPr>
    </w:lvl>
    <w:lvl w:ilvl="5" w:tplc="8D0A2EFA" w:tentative="1">
      <w:start w:val="1"/>
      <w:numFmt w:val="bullet"/>
      <w:lvlText w:val="•"/>
      <w:lvlJc w:val="left"/>
      <w:pPr>
        <w:tabs>
          <w:tab w:val="num" w:pos="4320"/>
        </w:tabs>
        <w:ind w:left="4320" w:hanging="360"/>
      </w:pPr>
      <w:rPr>
        <w:rFonts w:ascii="Arial" w:hAnsi="Arial" w:hint="default"/>
      </w:rPr>
    </w:lvl>
    <w:lvl w:ilvl="6" w:tplc="9DAAED2A" w:tentative="1">
      <w:start w:val="1"/>
      <w:numFmt w:val="bullet"/>
      <w:lvlText w:val="•"/>
      <w:lvlJc w:val="left"/>
      <w:pPr>
        <w:tabs>
          <w:tab w:val="num" w:pos="5040"/>
        </w:tabs>
        <w:ind w:left="5040" w:hanging="360"/>
      </w:pPr>
      <w:rPr>
        <w:rFonts w:ascii="Arial" w:hAnsi="Arial" w:hint="default"/>
      </w:rPr>
    </w:lvl>
    <w:lvl w:ilvl="7" w:tplc="1174E38C" w:tentative="1">
      <w:start w:val="1"/>
      <w:numFmt w:val="bullet"/>
      <w:lvlText w:val="•"/>
      <w:lvlJc w:val="left"/>
      <w:pPr>
        <w:tabs>
          <w:tab w:val="num" w:pos="5760"/>
        </w:tabs>
        <w:ind w:left="5760" w:hanging="360"/>
      </w:pPr>
      <w:rPr>
        <w:rFonts w:ascii="Arial" w:hAnsi="Arial" w:hint="default"/>
      </w:rPr>
    </w:lvl>
    <w:lvl w:ilvl="8" w:tplc="19C4DD76" w:tentative="1">
      <w:start w:val="1"/>
      <w:numFmt w:val="bullet"/>
      <w:lvlText w:val="•"/>
      <w:lvlJc w:val="left"/>
      <w:pPr>
        <w:tabs>
          <w:tab w:val="num" w:pos="6480"/>
        </w:tabs>
        <w:ind w:left="6480" w:hanging="360"/>
      </w:pPr>
      <w:rPr>
        <w:rFonts w:ascii="Arial" w:hAnsi="Arial" w:hint="default"/>
      </w:rPr>
    </w:lvl>
  </w:abstractNum>
  <w:abstractNum w:abstractNumId="30" w15:restartNumberingAfterBreak="0">
    <w:nsid w:val="61FA0511"/>
    <w:multiLevelType w:val="hybridMultilevel"/>
    <w:tmpl w:val="0F126C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62DF5BA6"/>
    <w:multiLevelType w:val="multilevel"/>
    <w:tmpl w:val="E08841C4"/>
    <w:lvl w:ilvl="0">
      <w:start w:val="1"/>
      <w:numFmt w:val="decimal"/>
      <w:pStyle w:val="Heading1"/>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15:restartNumberingAfterBreak="0">
    <w:nsid w:val="66F210A3"/>
    <w:multiLevelType w:val="hybridMultilevel"/>
    <w:tmpl w:val="E6341548"/>
    <w:lvl w:ilvl="0" w:tplc="7206EAAE">
      <w:start w:val="5"/>
      <w:numFmt w:val="bullet"/>
      <w:lvlText w:val="-"/>
      <w:lvlJc w:val="left"/>
      <w:pPr>
        <w:ind w:left="720" w:hanging="360"/>
      </w:pPr>
      <w:rPr>
        <w:rFonts w:ascii="Arial" w:eastAsia="Times New Roman" w:hAnsi="Arial" w:cs="Aria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67422ED0"/>
    <w:multiLevelType w:val="hybridMultilevel"/>
    <w:tmpl w:val="5D562A04"/>
    <w:lvl w:ilvl="0" w:tplc="08090013">
      <w:start w:val="1"/>
      <w:numFmt w:val="upperRoman"/>
      <w:lvlText w:val="%1."/>
      <w:lvlJc w:val="righ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4" w15:restartNumberingAfterBreak="0">
    <w:nsid w:val="68997720"/>
    <w:multiLevelType w:val="hybridMultilevel"/>
    <w:tmpl w:val="9856C3E4"/>
    <w:lvl w:ilvl="0" w:tplc="87401496">
      <w:start w:val="1"/>
      <w:numFmt w:val="bullet"/>
      <w:lvlText w:val="•"/>
      <w:lvlJc w:val="left"/>
      <w:pPr>
        <w:tabs>
          <w:tab w:val="num" w:pos="720"/>
        </w:tabs>
        <w:ind w:left="720" w:hanging="360"/>
      </w:pPr>
      <w:rPr>
        <w:rFonts w:ascii="Arial" w:hAnsi="Arial" w:hint="default"/>
      </w:rPr>
    </w:lvl>
    <w:lvl w:ilvl="1" w:tplc="0FA0E2F6">
      <w:numFmt w:val="bullet"/>
      <w:lvlText w:val="ü"/>
      <w:lvlJc w:val="left"/>
      <w:pPr>
        <w:tabs>
          <w:tab w:val="num" w:pos="1440"/>
        </w:tabs>
        <w:ind w:left="1440" w:hanging="360"/>
      </w:pPr>
      <w:rPr>
        <w:rFonts w:ascii="Wingdings" w:hAnsi="Wingdings" w:hint="default"/>
      </w:rPr>
    </w:lvl>
    <w:lvl w:ilvl="2" w:tplc="82A45278" w:tentative="1">
      <w:start w:val="1"/>
      <w:numFmt w:val="bullet"/>
      <w:lvlText w:val="•"/>
      <w:lvlJc w:val="left"/>
      <w:pPr>
        <w:tabs>
          <w:tab w:val="num" w:pos="2160"/>
        </w:tabs>
        <w:ind w:left="2160" w:hanging="360"/>
      </w:pPr>
      <w:rPr>
        <w:rFonts w:ascii="Arial" w:hAnsi="Arial" w:hint="default"/>
      </w:rPr>
    </w:lvl>
    <w:lvl w:ilvl="3" w:tplc="2EACDD08" w:tentative="1">
      <w:start w:val="1"/>
      <w:numFmt w:val="bullet"/>
      <w:lvlText w:val="•"/>
      <w:lvlJc w:val="left"/>
      <w:pPr>
        <w:tabs>
          <w:tab w:val="num" w:pos="2880"/>
        </w:tabs>
        <w:ind w:left="2880" w:hanging="360"/>
      </w:pPr>
      <w:rPr>
        <w:rFonts w:ascii="Arial" w:hAnsi="Arial" w:hint="default"/>
      </w:rPr>
    </w:lvl>
    <w:lvl w:ilvl="4" w:tplc="F816F670" w:tentative="1">
      <w:start w:val="1"/>
      <w:numFmt w:val="bullet"/>
      <w:lvlText w:val="•"/>
      <w:lvlJc w:val="left"/>
      <w:pPr>
        <w:tabs>
          <w:tab w:val="num" w:pos="3600"/>
        </w:tabs>
        <w:ind w:left="3600" w:hanging="360"/>
      </w:pPr>
      <w:rPr>
        <w:rFonts w:ascii="Arial" w:hAnsi="Arial" w:hint="default"/>
      </w:rPr>
    </w:lvl>
    <w:lvl w:ilvl="5" w:tplc="CE8423DA" w:tentative="1">
      <w:start w:val="1"/>
      <w:numFmt w:val="bullet"/>
      <w:lvlText w:val="•"/>
      <w:lvlJc w:val="left"/>
      <w:pPr>
        <w:tabs>
          <w:tab w:val="num" w:pos="4320"/>
        </w:tabs>
        <w:ind w:left="4320" w:hanging="360"/>
      </w:pPr>
      <w:rPr>
        <w:rFonts w:ascii="Arial" w:hAnsi="Arial" w:hint="default"/>
      </w:rPr>
    </w:lvl>
    <w:lvl w:ilvl="6" w:tplc="ABCC3C36" w:tentative="1">
      <w:start w:val="1"/>
      <w:numFmt w:val="bullet"/>
      <w:lvlText w:val="•"/>
      <w:lvlJc w:val="left"/>
      <w:pPr>
        <w:tabs>
          <w:tab w:val="num" w:pos="5040"/>
        </w:tabs>
        <w:ind w:left="5040" w:hanging="360"/>
      </w:pPr>
      <w:rPr>
        <w:rFonts w:ascii="Arial" w:hAnsi="Arial" w:hint="default"/>
      </w:rPr>
    </w:lvl>
    <w:lvl w:ilvl="7" w:tplc="3F6A4366" w:tentative="1">
      <w:start w:val="1"/>
      <w:numFmt w:val="bullet"/>
      <w:lvlText w:val="•"/>
      <w:lvlJc w:val="left"/>
      <w:pPr>
        <w:tabs>
          <w:tab w:val="num" w:pos="5760"/>
        </w:tabs>
        <w:ind w:left="5760" w:hanging="360"/>
      </w:pPr>
      <w:rPr>
        <w:rFonts w:ascii="Arial" w:hAnsi="Arial" w:hint="default"/>
      </w:rPr>
    </w:lvl>
    <w:lvl w:ilvl="8" w:tplc="0B82FC66" w:tentative="1">
      <w:start w:val="1"/>
      <w:numFmt w:val="bullet"/>
      <w:lvlText w:val="•"/>
      <w:lvlJc w:val="left"/>
      <w:pPr>
        <w:tabs>
          <w:tab w:val="num" w:pos="6480"/>
        </w:tabs>
        <w:ind w:left="6480" w:hanging="360"/>
      </w:pPr>
      <w:rPr>
        <w:rFonts w:ascii="Arial" w:hAnsi="Arial" w:hint="default"/>
      </w:rPr>
    </w:lvl>
  </w:abstractNum>
  <w:abstractNum w:abstractNumId="35" w15:restartNumberingAfterBreak="0">
    <w:nsid w:val="6D9370D7"/>
    <w:multiLevelType w:val="hybridMultilevel"/>
    <w:tmpl w:val="6CCA2156"/>
    <w:lvl w:ilvl="0" w:tplc="08090017">
      <w:start w:val="1"/>
      <w:numFmt w:val="low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6" w15:restartNumberingAfterBreak="0">
    <w:nsid w:val="766B43A4"/>
    <w:multiLevelType w:val="hybridMultilevel"/>
    <w:tmpl w:val="7182FB1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7" w15:restartNumberingAfterBreak="0">
    <w:nsid w:val="79771A44"/>
    <w:multiLevelType w:val="hybridMultilevel"/>
    <w:tmpl w:val="1D629448"/>
    <w:lvl w:ilvl="0" w:tplc="7206EAAE">
      <w:start w:val="5"/>
      <w:numFmt w:val="bullet"/>
      <w:lvlText w:val="-"/>
      <w:lvlJc w:val="left"/>
      <w:pPr>
        <w:ind w:left="360" w:hanging="360"/>
      </w:pPr>
      <w:rPr>
        <w:rFonts w:ascii="Arial" w:eastAsia="Times New Roman" w:hAnsi="Arial" w:cs="Arial" w:hint="default"/>
      </w:rPr>
    </w:lvl>
    <w:lvl w:ilvl="1" w:tplc="FFFFFFFF" w:tentative="1">
      <w:start w:val="1"/>
      <w:numFmt w:val="lowerLetter"/>
      <w:lvlText w:val="%2."/>
      <w:lvlJc w:val="left"/>
      <w:pPr>
        <w:ind w:left="1078" w:hanging="360"/>
      </w:pPr>
    </w:lvl>
    <w:lvl w:ilvl="2" w:tplc="FFFFFFFF" w:tentative="1">
      <w:start w:val="1"/>
      <w:numFmt w:val="lowerRoman"/>
      <w:lvlText w:val="%3."/>
      <w:lvlJc w:val="right"/>
      <w:pPr>
        <w:ind w:left="1798" w:hanging="180"/>
      </w:pPr>
    </w:lvl>
    <w:lvl w:ilvl="3" w:tplc="FFFFFFFF" w:tentative="1">
      <w:start w:val="1"/>
      <w:numFmt w:val="decimal"/>
      <w:lvlText w:val="%4."/>
      <w:lvlJc w:val="left"/>
      <w:pPr>
        <w:ind w:left="2518" w:hanging="360"/>
      </w:pPr>
    </w:lvl>
    <w:lvl w:ilvl="4" w:tplc="FFFFFFFF" w:tentative="1">
      <w:start w:val="1"/>
      <w:numFmt w:val="lowerLetter"/>
      <w:lvlText w:val="%5."/>
      <w:lvlJc w:val="left"/>
      <w:pPr>
        <w:ind w:left="3238" w:hanging="360"/>
      </w:pPr>
    </w:lvl>
    <w:lvl w:ilvl="5" w:tplc="FFFFFFFF" w:tentative="1">
      <w:start w:val="1"/>
      <w:numFmt w:val="lowerRoman"/>
      <w:lvlText w:val="%6."/>
      <w:lvlJc w:val="right"/>
      <w:pPr>
        <w:ind w:left="3958" w:hanging="180"/>
      </w:pPr>
    </w:lvl>
    <w:lvl w:ilvl="6" w:tplc="FFFFFFFF" w:tentative="1">
      <w:start w:val="1"/>
      <w:numFmt w:val="decimal"/>
      <w:lvlText w:val="%7."/>
      <w:lvlJc w:val="left"/>
      <w:pPr>
        <w:ind w:left="4678" w:hanging="360"/>
      </w:pPr>
    </w:lvl>
    <w:lvl w:ilvl="7" w:tplc="FFFFFFFF" w:tentative="1">
      <w:start w:val="1"/>
      <w:numFmt w:val="lowerLetter"/>
      <w:lvlText w:val="%8."/>
      <w:lvlJc w:val="left"/>
      <w:pPr>
        <w:ind w:left="5398" w:hanging="360"/>
      </w:pPr>
    </w:lvl>
    <w:lvl w:ilvl="8" w:tplc="FFFFFFFF" w:tentative="1">
      <w:start w:val="1"/>
      <w:numFmt w:val="lowerRoman"/>
      <w:lvlText w:val="%9."/>
      <w:lvlJc w:val="right"/>
      <w:pPr>
        <w:ind w:left="6118" w:hanging="180"/>
      </w:pPr>
    </w:lvl>
  </w:abstractNum>
  <w:abstractNum w:abstractNumId="38" w15:restartNumberingAfterBreak="0">
    <w:nsid w:val="7B425656"/>
    <w:multiLevelType w:val="hybridMultilevel"/>
    <w:tmpl w:val="C0BEF118"/>
    <w:lvl w:ilvl="0" w:tplc="7206EAAE">
      <w:start w:val="5"/>
      <w:numFmt w:val="bullet"/>
      <w:lvlText w:val="-"/>
      <w:lvlJc w:val="left"/>
      <w:pPr>
        <w:ind w:left="360" w:hanging="360"/>
      </w:pPr>
      <w:rPr>
        <w:rFonts w:ascii="Arial" w:eastAsia="Times New Roman" w:hAnsi="Arial" w:cs="Aria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9" w15:restartNumberingAfterBreak="0">
    <w:nsid w:val="7EFA0705"/>
    <w:multiLevelType w:val="hybridMultilevel"/>
    <w:tmpl w:val="023E7404"/>
    <w:lvl w:ilvl="0" w:tplc="57781F70">
      <w:start w:val="1"/>
      <w:numFmt w:val="bullet"/>
      <w:lvlText w:val="•"/>
      <w:lvlJc w:val="left"/>
      <w:pPr>
        <w:tabs>
          <w:tab w:val="num" w:pos="720"/>
        </w:tabs>
        <w:ind w:left="720" w:hanging="360"/>
      </w:pPr>
      <w:rPr>
        <w:rFonts w:ascii="Arial" w:hAnsi="Arial" w:hint="default"/>
      </w:rPr>
    </w:lvl>
    <w:lvl w:ilvl="1" w:tplc="91BC72F8" w:tentative="1">
      <w:start w:val="1"/>
      <w:numFmt w:val="bullet"/>
      <w:lvlText w:val="•"/>
      <w:lvlJc w:val="left"/>
      <w:pPr>
        <w:tabs>
          <w:tab w:val="num" w:pos="1440"/>
        </w:tabs>
        <w:ind w:left="1440" w:hanging="360"/>
      </w:pPr>
      <w:rPr>
        <w:rFonts w:ascii="Arial" w:hAnsi="Arial" w:hint="default"/>
      </w:rPr>
    </w:lvl>
    <w:lvl w:ilvl="2" w:tplc="34AAC64A" w:tentative="1">
      <w:start w:val="1"/>
      <w:numFmt w:val="bullet"/>
      <w:lvlText w:val="•"/>
      <w:lvlJc w:val="left"/>
      <w:pPr>
        <w:tabs>
          <w:tab w:val="num" w:pos="2160"/>
        </w:tabs>
        <w:ind w:left="2160" w:hanging="360"/>
      </w:pPr>
      <w:rPr>
        <w:rFonts w:ascii="Arial" w:hAnsi="Arial" w:hint="default"/>
      </w:rPr>
    </w:lvl>
    <w:lvl w:ilvl="3" w:tplc="AD3AF92C" w:tentative="1">
      <w:start w:val="1"/>
      <w:numFmt w:val="bullet"/>
      <w:lvlText w:val="•"/>
      <w:lvlJc w:val="left"/>
      <w:pPr>
        <w:tabs>
          <w:tab w:val="num" w:pos="2880"/>
        </w:tabs>
        <w:ind w:left="2880" w:hanging="360"/>
      </w:pPr>
      <w:rPr>
        <w:rFonts w:ascii="Arial" w:hAnsi="Arial" w:hint="default"/>
      </w:rPr>
    </w:lvl>
    <w:lvl w:ilvl="4" w:tplc="C77ED7AA" w:tentative="1">
      <w:start w:val="1"/>
      <w:numFmt w:val="bullet"/>
      <w:lvlText w:val="•"/>
      <w:lvlJc w:val="left"/>
      <w:pPr>
        <w:tabs>
          <w:tab w:val="num" w:pos="3600"/>
        </w:tabs>
        <w:ind w:left="3600" w:hanging="360"/>
      </w:pPr>
      <w:rPr>
        <w:rFonts w:ascii="Arial" w:hAnsi="Arial" w:hint="default"/>
      </w:rPr>
    </w:lvl>
    <w:lvl w:ilvl="5" w:tplc="264EC012" w:tentative="1">
      <w:start w:val="1"/>
      <w:numFmt w:val="bullet"/>
      <w:lvlText w:val="•"/>
      <w:lvlJc w:val="left"/>
      <w:pPr>
        <w:tabs>
          <w:tab w:val="num" w:pos="4320"/>
        </w:tabs>
        <w:ind w:left="4320" w:hanging="360"/>
      </w:pPr>
      <w:rPr>
        <w:rFonts w:ascii="Arial" w:hAnsi="Arial" w:hint="default"/>
      </w:rPr>
    </w:lvl>
    <w:lvl w:ilvl="6" w:tplc="2B20E756" w:tentative="1">
      <w:start w:val="1"/>
      <w:numFmt w:val="bullet"/>
      <w:lvlText w:val="•"/>
      <w:lvlJc w:val="left"/>
      <w:pPr>
        <w:tabs>
          <w:tab w:val="num" w:pos="5040"/>
        </w:tabs>
        <w:ind w:left="5040" w:hanging="360"/>
      </w:pPr>
      <w:rPr>
        <w:rFonts w:ascii="Arial" w:hAnsi="Arial" w:hint="default"/>
      </w:rPr>
    </w:lvl>
    <w:lvl w:ilvl="7" w:tplc="6A0A7388" w:tentative="1">
      <w:start w:val="1"/>
      <w:numFmt w:val="bullet"/>
      <w:lvlText w:val="•"/>
      <w:lvlJc w:val="left"/>
      <w:pPr>
        <w:tabs>
          <w:tab w:val="num" w:pos="5760"/>
        </w:tabs>
        <w:ind w:left="5760" w:hanging="360"/>
      </w:pPr>
      <w:rPr>
        <w:rFonts w:ascii="Arial" w:hAnsi="Arial" w:hint="default"/>
      </w:rPr>
    </w:lvl>
    <w:lvl w:ilvl="8" w:tplc="8D6C146C" w:tentative="1">
      <w:start w:val="1"/>
      <w:numFmt w:val="bullet"/>
      <w:lvlText w:val="•"/>
      <w:lvlJc w:val="left"/>
      <w:pPr>
        <w:tabs>
          <w:tab w:val="num" w:pos="6480"/>
        </w:tabs>
        <w:ind w:left="6480" w:hanging="360"/>
      </w:pPr>
      <w:rPr>
        <w:rFonts w:ascii="Arial" w:hAnsi="Arial" w:hint="default"/>
      </w:rPr>
    </w:lvl>
  </w:abstractNum>
  <w:num w:numId="1" w16cid:durableId="1483155908">
    <w:abstractNumId w:val="28"/>
  </w:num>
  <w:num w:numId="2" w16cid:durableId="773398574">
    <w:abstractNumId w:val="3"/>
  </w:num>
  <w:num w:numId="3" w16cid:durableId="1321343906">
    <w:abstractNumId w:val="31"/>
  </w:num>
  <w:num w:numId="4" w16cid:durableId="238172192">
    <w:abstractNumId w:val="35"/>
  </w:num>
  <w:num w:numId="5" w16cid:durableId="315500064">
    <w:abstractNumId w:val="6"/>
  </w:num>
  <w:num w:numId="6" w16cid:durableId="746346465">
    <w:abstractNumId w:val="23"/>
  </w:num>
  <w:num w:numId="7" w16cid:durableId="1367288050">
    <w:abstractNumId w:val="32"/>
  </w:num>
  <w:num w:numId="8" w16cid:durableId="1351222802">
    <w:abstractNumId w:val="33"/>
  </w:num>
  <w:num w:numId="9" w16cid:durableId="138813318">
    <w:abstractNumId w:val="38"/>
  </w:num>
  <w:num w:numId="10" w16cid:durableId="1879583860">
    <w:abstractNumId w:val="15"/>
  </w:num>
  <w:num w:numId="11" w16cid:durableId="2033609533">
    <w:abstractNumId w:val="8"/>
  </w:num>
  <w:num w:numId="12" w16cid:durableId="144974277">
    <w:abstractNumId w:val="26"/>
  </w:num>
  <w:num w:numId="13" w16cid:durableId="708189275">
    <w:abstractNumId w:val="5"/>
  </w:num>
  <w:num w:numId="14" w16cid:durableId="1178076050">
    <w:abstractNumId w:val="34"/>
  </w:num>
  <w:num w:numId="15" w16cid:durableId="36317576">
    <w:abstractNumId w:val="0"/>
  </w:num>
  <w:num w:numId="16" w16cid:durableId="1362514257">
    <w:abstractNumId w:val="7"/>
  </w:num>
  <w:num w:numId="17" w16cid:durableId="704254050">
    <w:abstractNumId w:val="10"/>
  </w:num>
  <w:num w:numId="18" w16cid:durableId="1596942009">
    <w:abstractNumId w:val="21"/>
  </w:num>
  <w:num w:numId="19" w16cid:durableId="1336415413">
    <w:abstractNumId w:val="11"/>
  </w:num>
  <w:num w:numId="20" w16cid:durableId="1407415846">
    <w:abstractNumId w:val="2"/>
  </w:num>
  <w:num w:numId="21" w16cid:durableId="1341392750">
    <w:abstractNumId w:val="12"/>
  </w:num>
  <w:num w:numId="22" w16cid:durableId="1278221575">
    <w:abstractNumId w:val="29"/>
  </w:num>
  <w:num w:numId="23" w16cid:durableId="2126532072">
    <w:abstractNumId w:val="16"/>
  </w:num>
  <w:num w:numId="24" w16cid:durableId="1066297628">
    <w:abstractNumId w:val="39"/>
  </w:num>
  <w:num w:numId="25" w16cid:durableId="590628198">
    <w:abstractNumId w:val="13"/>
  </w:num>
  <w:num w:numId="26" w16cid:durableId="1846363218">
    <w:abstractNumId w:val="37"/>
  </w:num>
  <w:num w:numId="27" w16cid:durableId="969628146">
    <w:abstractNumId w:val="24"/>
  </w:num>
  <w:num w:numId="28" w16cid:durableId="70084581">
    <w:abstractNumId w:val="9"/>
  </w:num>
  <w:num w:numId="29" w16cid:durableId="1257442721">
    <w:abstractNumId w:val="22"/>
  </w:num>
  <w:num w:numId="30" w16cid:durableId="220871155">
    <w:abstractNumId w:val="18"/>
  </w:num>
  <w:num w:numId="31" w16cid:durableId="1759448941">
    <w:abstractNumId w:val="17"/>
  </w:num>
  <w:num w:numId="32" w16cid:durableId="9375429">
    <w:abstractNumId w:val="25"/>
  </w:num>
  <w:num w:numId="33" w16cid:durableId="92366009">
    <w:abstractNumId w:val="30"/>
  </w:num>
  <w:num w:numId="34" w16cid:durableId="454910320">
    <w:abstractNumId w:val="31"/>
  </w:num>
  <w:num w:numId="35" w16cid:durableId="1733428953">
    <w:abstractNumId w:val="31"/>
  </w:num>
  <w:num w:numId="36" w16cid:durableId="155190007">
    <w:abstractNumId w:val="31"/>
  </w:num>
  <w:num w:numId="37" w16cid:durableId="2053571673">
    <w:abstractNumId w:val="31"/>
  </w:num>
  <w:num w:numId="38" w16cid:durableId="1951082110">
    <w:abstractNumId w:val="27"/>
  </w:num>
  <w:num w:numId="39" w16cid:durableId="909851555">
    <w:abstractNumId w:val="1"/>
  </w:num>
  <w:num w:numId="40" w16cid:durableId="1907951528">
    <w:abstractNumId w:val="31"/>
  </w:num>
  <w:num w:numId="41" w16cid:durableId="1902401618">
    <w:abstractNumId w:val="31"/>
  </w:num>
  <w:num w:numId="42" w16cid:durableId="817724108">
    <w:abstractNumId w:val="31"/>
  </w:num>
  <w:num w:numId="43" w16cid:durableId="1632244790">
    <w:abstractNumId w:val="31"/>
  </w:num>
  <w:num w:numId="44" w16cid:durableId="1367674778">
    <w:abstractNumId w:val="31"/>
  </w:num>
  <w:num w:numId="45" w16cid:durableId="190269892">
    <w:abstractNumId w:val="31"/>
  </w:num>
  <w:num w:numId="46" w16cid:durableId="1249270039">
    <w:abstractNumId w:val="31"/>
  </w:num>
  <w:num w:numId="47" w16cid:durableId="433794894">
    <w:abstractNumId w:val="36"/>
  </w:num>
  <w:num w:numId="48" w16cid:durableId="1748578317">
    <w:abstractNumId w:val="14"/>
  </w:num>
  <w:num w:numId="49" w16cid:durableId="28457039">
    <w:abstractNumId w:val="20"/>
  </w:num>
  <w:num w:numId="50" w16cid:durableId="302664106">
    <w:abstractNumId w:val="19"/>
  </w:num>
  <w:num w:numId="51" w16cid:durableId="2107070193">
    <w:abstractNumId w:val="4"/>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hideSpellingErrors/>
  <w:hideGrammaticalErrors/>
  <w:proofState w:spelling="clean" w:grammar="clean"/>
  <w:defaultTabStop w:val="720"/>
  <w:characterSpacingControl w:val="doNotCompress"/>
  <w:hdrShapeDefaults>
    <o:shapedefaults v:ext="edit" spidmax="2050"/>
    <o:shapelayout v:ext="edit">
      <o:idmap v:ext="edit" data="1"/>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A7C43"/>
    <w:rsid w:val="0000232F"/>
    <w:rsid w:val="000042E6"/>
    <w:rsid w:val="000059F2"/>
    <w:rsid w:val="00005D3A"/>
    <w:rsid w:val="00006DE0"/>
    <w:rsid w:val="00010C72"/>
    <w:rsid w:val="0001204E"/>
    <w:rsid w:val="000128BF"/>
    <w:rsid w:val="00016871"/>
    <w:rsid w:val="00016B96"/>
    <w:rsid w:val="00020C4F"/>
    <w:rsid w:val="000262BC"/>
    <w:rsid w:val="00026CEC"/>
    <w:rsid w:val="00026EC4"/>
    <w:rsid w:val="000275C4"/>
    <w:rsid w:val="00032153"/>
    <w:rsid w:val="0003279D"/>
    <w:rsid w:val="00035776"/>
    <w:rsid w:val="000367DC"/>
    <w:rsid w:val="00036D7A"/>
    <w:rsid w:val="000370EA"/>
    <w:rsid w:val="00037FDF"/>
    <w:rsid w:val="00041939"/>
    <w:rsid w:val="00044179"/>
    <w:rsid w:val="00044E1C"/>
    <w:rsid w:val="00047596"/>
    <w:rsid w:val="000479BB"/>
    <w:rsid w:val="00047EC9"/>
    <w:rsid w:val="00050BE3"/>
    <w:rsid w:val="00050E08"/>
    <w:rsid w:val="00052650"/>
    <w:rsid w:val="00054B7B"/>
    <w:rsid w:val="000612E7"/>
    <w:rsid w:val="00061523"/>
    <w:rsid w:val="00061D6A"/>
    <w:rsid w:val="00062CF6"/>
    <w:rsid w:val="00063ED0"/>
    <w:rsid w:val="00065CB1"/>
    <w:rsid w:val="00066B35"/>
    <w:rsid w:val="00067885"/>
    <w:rsid w:val="00070FF3"/>
    <w:rsid w:val="00072259"/>
    <w:rsid w:val="000722B6"/>
    <w:rsid w:val="00072E8B"/>
    <w:rsid w:val="0007321A"/>
    <w:rsid w:val="000737EC"/>
    <w:rsid w:val="00074856"/>
    <w:rsid w:val="00075D33"/>
    <w:rsid w:val="0007793A"/>
    <w:rsid w:val="000803B0"/>
    <w:rsid w:val="0008043B"/>
    <w:rsid w:val="000804D7"/>
    <w:rsid w:val="0008057D"/>
    <w:rsid w:val="000805C6"/>
    <w:rsid w:val="00081128"/>
    <w:rsid w:val="000843D1"/>
    <w:rsid w:val="00085436"/>
    <w:rsid w:val="00085985"/>
    <w:rsid w:val="00086CCC"/>
    <w:rsid w:val="00091664"/>
    <w:rsid w:val="00092E40"/>
    <w:rsid w:val="00093E2E"/>
    <w:rsid w:val="0009404B"/>
    <w:rsid w:val="000973B6"/>
    <w:rsid w:val="000A2711"/>
    <w:rsid w:val="000A3C60"/>
    <w:rsid w:val="000A5FED"/>
    <w:rsid w:val="000A6C3B"/>
    <w:rsid w:val="000A77A7"/>
    <w:rsid w:val="000B1781"/>
    <w:rsid w:val="000B180A"/>
    <w:rsid w:val="000B3C0C"/>
    <w:rsid w:val="000B4A51"/>
    <w:rsid w:val="000B4D2F"/>
    <w:rsid w:val="000B5B6C"/>
    <w:rsid w:val="000B6994"/>
    <w:rsid w:val="000B6B7A"/>
    <w:rsid w:val="000B7F33"/>
    <w:rsid w:val="000C1BFD"/>
    <w:rsid w:val="000C1D95"/>
    <w:rsid w:val="000C43EE"/>
    <w:rsid w:val="000C4B54"/>
    <w:rsid w:val="000C4C5B"/>
    <w:rsid w:val="000C4E25"/>
    <w:rsid w:val="000C64C8"/>
    <w:rsid w:val="000C6795"/>
    <w:rsid w:val="000D2447"/>
    <w:rsid w:val="000D530A"/>
    <w:rsid w:val="000D53D7"/>
    <w:rsid w:val="000D6049"/>
    <w:rsid w:val="000E0C06"/>
    <w:rsid w:val="000E23BC"/>
    <w:rsid w:val="000E3919"/>
    <w:rsid w:val="000E44AA"/>
    <w:rsid w:val="000E6176"/>
    <w:rsid w:val="000E66F2"/>
    <w:rsid w:val="000E6723"/>
    <w:rsid w:val="000E6F60"/>
    <w:rsid w:val="000F0BE7"/>
    <w:rsid w:val="000F2322"/>
    <w:rsid w:val="000F2756"/>
    <w:rsid w:val="000F3312"/>
    <w:rsid w:val="000F3951"/>
    <w:rsid w:val="000F3E7A"/>
    <w:rsid w:val="000F55A0"/>
    <w:rsid w:val="000F569A"/>
    <w:rsid w:val="001001EC"/>
    <w:rsid w:val="001015AB"/>
    <w:rsid w:val="001023E2"/>
    <w:rsid w:val="00102B7D"/>
    <w:rsid w:val="00103890"/>
    <w:rsid w:val="001046B0"/>
    <w:rsid w:val="00112AB1"/>
    <w:rsid w:val="00114AAC"/>
    <w:rsid w:val="00115A42"/>
    <w:rsid w:val="00115E53"/>
    <w:rsid w:val="001174FA"/>
    <w:rsid w:val="00117EB3"/>
    <w:rsid w:val="00120492"/>
    <w:rsid w:val="00125BDE"/>
    <w:rsid w:val="0012722F"/>
    <w:rsid w:val="0013088E"/>
    <w:rsid w:val="001316BC"/>
    <w:rsid w:val="00132DFF"/>
    <w:rsid w:val="00133DD8"/>
    <w:rsid w:val="00133E1A"/>
    <w:rsid w:val="001360C4"/>
    <w:rsid w:val="00136B35"/>
    <w:rsid w:val="0014377D"/>
    <w:rsid w:val="00143B11"/>
    <w:rsid w:val="00144D2D"/>
    <w:rsid w:val="0014502E"/>
    <w:rsid w:val="001462FD"/>
    <w:rsid w:val="00150F7C"/>
    <w:rsid w:val="001518DE"/>
    <w:rsid w:val="00151FD7"/>
    <w:rsid w:val="00154A8D"/>
    <w:rsid w:val="00155D87"/>
    <w:rsid w:val="00157082"/>
    <w:rsid w:val="00160B8C"/>
    <w:rsid w:val="00161135"/>
    <w:rsid w:val="00162533"/>
    <w:rsid w:val="00165DFD"/>
    <w:rsid w:val="00167446"/>
    <w:rsid w:val="00170CCE"/>
    <w:rsid w:val="0017174D"/>
    <w:rsid w:val="00174A5A"/>
    <w:rsid w:val="00175225"/>
    <w:rsid w:val="001753A6"/>
    <w:rsid w:val="00176001"/>
    <w:rsid w:val="00176AB6"/>
    <w:rsid w:val="00177F2F"/>
    <w:rsid w:val="00177FC4"/>
    <w:rsid w:val="001853FE"/>
    <w:rsid w:val="001855B9"/>
    <w:rsid w:val="0018694D"/>
    <w:rsid w:val="0019269C"/>
    <w:rsid w:val="00192D15"/>
    <w:rsid w:val="00193878"/>
    <w:rsid w:val="0019578D"/>
    <w:rsid w:val="00195FFB"/>
    <w:rsid w:val="0019648B"/>
    <w:rsid w:val="00196B46"/>
    <w:rsid w:val="00196BD8"/>
    <w:rsid w:val="00197AA9"/>
    <w:rsid w:val="00197B84"/>
    <w:rsid w:val="001A03C9"/>
    <w:rsid w:val="001A0DC2"/>
    <w:rsid w:val="001A2E36"/>
    <w:rsid w:val="001A447D"/>
    <w:rsid w:val="001A53E6"/>
    <w:rsid w:val="001A79CC"/>
    <w:rsid w:val="001B07BC"/>
    <w:rsid w:val="001B0DF3"/>
    <w:rsid w:val="001B108A"/>
    <w:rsid w:val="001B20F4"/>
    <w:rsid w:val="001B2D8A"/>
    <w:rsid w:val="001B3067"/>
    <w:rsid w:val="001B4233"/>
    <w:rsid w:val="001B55AA"/>
    <w:rsid w:val="001B583B"/>
    <w:rsid w:val="001B619B"/>
    <w:rsid w:val="001B70CE"/>
    <w:rsid w:val="001C01E9"/>
    <w:rsid w:val="001C0209"/>
    <w:rsid w:val="001C0DCA"/>
    <w:rsid w:val="001C1AB8"/>
    <w:rsid w:val="001C2229"/>
    <w:rsid w:val="001C3C18"/>
    <w:rsid w:val="001C44BF"/>
    <w:rsid w:val="001C4D07"/>
    <w:rsid w:val="001C5812"/>
    <w:rsid w:val="001C692F"/>
    <w:rsid w:val="001D1F6F"/>
    <w:rsid w:val="001D3A20"/>
    <w:rsid w:val="001D3FEC"/>
    <w:rsid w:val="001E0563"/>
    <w:rsid w:val="001E1B9F"/>
    <w:rsid w:val="001E3B51"/>
    <w:rsid w:val="001E76BA"/>
    <w:rsid w:val="001E76C8"/>
    <w:rsid w:val="001E7701"/>
    <w:rsid w:val="001F1435"/>
    <w:rsid w:val="001F169F"/>
    <w:rsid w:val="001F1783"/>
    <w:rsid w:val="001F2447"/>
    <w:rsid w:val="001F258C"/>
    <w:rsid w:val="001F2F7F"/>
    <w:rsid w:val="001F3C8F"/>
    <w:rsid w:val="001F3E1B"/>
    <w:rsid w:val="001F3E3B"/>
    <w:rsid w:val="001F4186"/>
    <w:rsid w:val="001F428E"/>
    <w:rsid w:val="001F7666"/>
    <w:rsid w:val="0020144D"/>
    <w:rsid w:val="0020314E"/>
    <w:rsid w:val="00204217"/>
    <w:rsid w:val="002053E8"/>
    <w:rsid w:val="0020691B"/>
    <w:rsid w:val="00207D84"/>
    <w:rsid w:val="00213AF8"/>
    <w:rsid w:val="00214590"/>
    <w:rsid w:val="002163EF"/>
    <w:rsid w:val="00216EA0"/>
    <w:rsid w:val="002171DB"/>
    <w:rsid w:val="00217248"/>
    <w:rsid w:val="002204D3"/>
    <w:rsid w:val="002210A3"/>
    <w:rsid w:val="00221652"/>
    <w:rsid w:val="00221F97"/>
    <w:rsid w:val="00226428"/>
    <w:rsid w:val="00232C8C"/>
    <w:rsid w:val="00232D20"/>
    <w:rsid w:val="0023370B"/>
    <w:rsid w:val="00234A6C"/>
    <w:rsid w:val="00235880"/>
    <w:rsid w:val="00235AC2"/>
    <w:rsid w:val="00237FA2"/>
    <w:rsid w:val="00237FEE"/>
    <w:rsid w:val="00243173"/>
    <w:rsid w:val="00243AC2"/>
    <w:rsid w:val="00245728"/>
    <w:rsid w:val="00247B3D"/>
    <w:rsid w:val="00251848"/>
    <w:rsid w:val="00252ABF"/>
    <w:rsid w:val="00252B67"/>
    <w:rsid w:val="00253FAA"/>
    <w:rsid w:val="0025458C"/>
    <w:rsid w:val="00256117"/>
    <w:rsid w:val="002562CB"/>
    <w:rsid w:val="00260E36"/>
    <w:rsid w:val="00264413"/>
    <w:rsid w:val="002666C8"/>
    <w:rsid w:val="00266718"/>
    <w:rsid w:val="002672D2"/>
    <w:rsid w:val="00272836"/>
    <w:rsid w:val="00273D82"/>
    <w:rsid w:val="00274DB9"/>
    <w:rsid w:val="00275544"/>
    <w:rsid w:val="00281138"/>
    <w:rsid w:val="00281C89"/>
    <w:rsid w:val="00282958"/>
    <w:rsid w:val="00283474"/>
    <w:rsid w:val="002841B4"/>
    <w:rsid w:val="00284ECD"/>
    <w:rsid w:val="00285B26"/>
    <w:rsid w:val="00286401"/>
    <w:rsid w:val="0028643C"/>
    <w:rsid w:val="002867B5"/>
    <w:rsid w:val="0028758E"/>
    <w:rsid w:val="00287E22"/>
    <w:rsid w:val="00292802"/>
    <w:rsid w:val="00296C7C"/>
    <w:rsid w:val="002A1978"/>
    <w:rsid w:val="002A39D1"/>
    <w:rsid w:val="002A3C68"/>
    <w:rsid w:val="002A5D3A"/>
    <w:rsid w:val="002A6D6B"/>
    <w:rsid w:val="002B03B9"/>
    <w:rsid w:val="002B05B6"/>
    <w:rsid w:val="002B4426"/>
    <w:rsid w:val="002B48CA"/>
    <w:rsid w:val="002B4B2B"/>
    <w:rsid w:val="002B5887"/>
    <w:rsid w:val="002B5A68"/>
    <w:rsid w:val="002B5AF7"/>
    <w:rsid w:val="002B66BB"/>
    <w:rsid w:val="002B6BDA"/>
    <w:rsid w:val="002B7493"/>
    <w:rsid w:val="002C0639"/>
    <w:rsid w:val="002C09BB"/>
    <w:rsid w:val="002C20C3"/>
    <w:rsid w:val="002C20FC"/>
    <w:rsid w:val="002C22B2"/>
    <w:rsid w:val="002C2945"/>
    <w:rsid w:val="002C4DA2"/>
    <w:rsid w:val="002C5A93"/>
    <w:rsid w:val="002C6127"/>
    <w:rsid w:val="002C6F52"/>
    <w:rsid w:val="002C7661"/>
    <w:rsid w:val="002C7BA7"/>
    <w:rsid w:val="002D0F7A"/>
    <w:rsid w:val="002D2BA2"/>
    <w:rsid w:val="002D5719"/>
    <w:rsid w:val="002D5971"/>
    <w:rsid w:val="002D5BA0"/>
    <w:rsid w:val="002D7A64"/>
    <w:rsid w:val="002D7B3D"/>
    <w:rsid w:val="002E0076"/>
    <w:rsid w:val="002E013E"/>
    <w:rsid w:val="002E0611"/>
    <w:rsid w:val="002E0FDE"/>
    <w:rsid w:val="002E2626"/>
    <w:rsid w:val="002E4748"/>
    <w:rsid w:val="002E5682"/>
    <w:rsid w:val="002F174E"/>
    <w:rsid w:val="002F289E"/>
    <w:rsid w:val="002F4357"/>
    <w:rsid w:val="002F4A8A"/>
    <w:rsid w:val="002F6868"/>
    <w:rsid w:val="002F7DBA"/>
    <w:rsid w:val="003002D9"/>
    <w:rsid w:val="00303C1C"/>
    <w:rsid w:val="00305828"/>
    <w:rsid w:val="00305A82"/>
    <w:rsid w:val="0030639B"/>
    <w:rsid w:val="00310509"/>
    <w:rsid w:val="003128E3"/>
    <w:rsid w:val="00312AC3"/>
    <w:rsid w:val="00314D45"/>
    <w:rsid w:val="003151D3"/>
    <w:rsid w:val="00316D0F"/>
    <w:rsid w:val="003202BA"/>
    <w:rsid w:val="003202DC"/>
    <w:rsid w:val="00320B2F"/>
    <w:rsid w:val="00320F6C"/>
    <w:rsid w:val="00321AAA"/>
    <w:rsid w:val="00321B2E"/>
    <w:rsid w:val="0032375A"/>
    <w:rsid w:val="00324187"/>
    <w:rsid w:val="00324E71"/>
    <w:rsid w:val="0032720D"/>
    <w:rsid w:val="00332158"/>
    <w:rsid w:val="003337BE"/>
    <w:rsid w:val="003360A6"/>
    <w:rsid w:val="00340370"/>
    <w:rsid w:val="00340C6B"/>
    <w:rsid w:val="00341237"/>
    <w:rsid w:val="00341637"/>
    <w:rsid w:val="00341AB3"/>
    <w:rsid w:val="00342A82"/>
    <w:rsid w:val="0034425F"/>
    <w:rsid w:val="00344D7A"/>
    <w:rsid w:val="0034791F"/>
    <w:rsid w:val="00350867"/>
    <w:rsid w:val="003523C0"/>
    <w:rsid w:val="00352949"/>
    <w:rsid w:val="0035458A"/>
    <w:rsid w:val="003545F1"/>
    <w:rsid w:val="00355786"/>
    <w:rsid w:val="00357E48"/>
    <w:rsid w:val="0036050B"/>
    <w:rsid w:val="0036089D"/>
    <w:rsid w:val="00360D47"/>
    <w:rsid w:val="00361DD6"/>
    <w:rsid w:val="003622AC"/>
    <w:rsid w:val="0036307F"/>
    <w:rsid w:val="00363B88"/>
    <w:rsid w:val="00365080"/>
    <w:rsid w:val="003656B9"/>
    <w:rsid w:val="00370CAB"/>
    <w:rsid w:val="00371F18"/>
    <w:rsid w:val="00373BBF"/>
    <w:rsid w:val="00374256"/>
    <w:rsid w:val="00374936"/>
    <w:rsid w:val="00374ED7"/>
    <w:rsid w:val="0037585A"/>
    <w:rsid w:val="003763B8"/>
    <w:rsid w:val="00377CB1"/>
    <w:rsid w:val="0038092A"/>
    <w:rsid w:val="003809BF"/>
    <w:rsid w:val="00380C04"/>
    <w:rsid w:val="00381067"/>
    <w:rsid w:val="00383F03"/>
    <w:rsid w:val="00385909"/>
    <w:rsid w:val="00385985"/>
    <w:rsid w:val="00386484"/>
    <w:rsid w:val="00390D65"/>
    <w:rsid w:val="00391F02"/>
    <w:rsid w:val="003938FA"/>
    <w:rsid w:val="00394097"/>
    <w:rsid w:val="0039559C"/>
    <w:rsid w:val="003A20F8"/>
    <w:rsid w:val="003A4AC4"/>
    <w:rsid w:val="003A5F3D"/>
    <w:rsid w:val="003A69B0"/>
    <w:rsid w:val="003B2AB0"/>
    <w:rsid w:val="003B4354"/>
    <w:rsid w:val="003B575F"/>
    <w:rsid w:val="003C4F95"/>
    <w:rsid w:val="003D0871"/>
    <w:rsid w:val="003D0EBC"/>
    <w:rsid w:val="003D1728"/>
    <w:rsid w:val="003D37B1"/>
    <w:rsid w:val="003D4E6C"/>
    <w:rsid w:val="003D6058"/>
    <w:rsid w:val="003D7362"/>
    <w:rsid w:val="003D7AF8"/>
    <w:rsid w:val="003E56C8"/>
    <w:rsid w:val="003E5FB0"/>
    <w:rsid w:val="003E7062"/>
    <w:rsid w:val="003F0007"/>
    <w:rsid w:val="003F23F8"/>
    <w:rsid w:val="003F2D19"/>
    <w:rsid w:val="004001DB"/>
    <w:rsid w:val="004009CA"/>
    <w:rsid w:val="004028D4"/>
    <w:rsid w:val="00404C5A"/>
    <w:rsid w:val="004063E4"/>
    <w:rsid w:val="00407841"/>
    <w:rsid w:val="00410182"/>
    <w:rsid w:val="00411D7A"/>
    <w:rsid w:val="00412602"/>
    <w:rsid w:val="0041297B"/>
    <w:rsid w:val="0041371E"/>
    <w:rsid w:val="00413E6F"/>
    <w:rsid w:val="0041456D"/>
    <w:rsid w:val="0041474F"/>
    <w:rsid w:val="00417578"/>
    <w:rsid w:val="004175F9"/>
    <w:rsid w:val="004177A5"/>
    <w:rsid w:val="004205F3"/>
    <w:rsid w:val="00420D39"/>
    <w:rsid w:val="004249BC"/>
    <w:rsid w:val="00427121"/>
    <w:rsid w:val="00431957"/>
    <w:rsid w:val="004334CC"/>
    <w:rsid w:val="004335F8"/>
    <w:rsid w:val="004337A3"/>
    <w:rsid w:val="00435DD2"/>
    <w:rsid w:val="004361A7"/>
    <w:rsid w:val="00437EF9"/>
    <w:rsid w:val="004419C7"/>
    <w:rsid w:val="00441D3B"/>
    <w:rsid w:val="004424C5"/>
    <w:rsid w:val="00443015"/>
    <w:rsid w:val="0044329B"/>
    <w:rsid w:val="004445E4"/>
    <w:rsid w:val="00444CC8"/>
    <w:rsid w:val="0044575E"/>
    <w:rsid w:val="00446278"/>
    <w:rsid w:val="00446558"/>
    <w:rsid w:val="0045231C"/>
    <w:rsid w:val="00454E4A"/>
    <w:rsid w:val="0045519B"/>
    <w:rsid w:val="004572AA"/>
    <w:rsid w:val="0045731B"/>
    <w:rsid w:val="00457BC1"/>
    <w:rsid w:val="0046087D"/>
    <w:rsid w:val="004612A1"/>
    <w:rsid w:val="00462246"/>
    <w:rsid w:val="00462604"/>
    <w:rsid w:val="0046333A"/>
    <w:rsid w:val="004638BB"/>
    <w:rsid w:val="00463A98"/>
    <w:rsid w:val="00463F4C"/>
    <w:rsid w:val="00464033"/>
    <w:rsid w:val="00464371"/>
    <w:rsid w:val="00464623"/>
    <w:rsid w:val="0046470D"/>
    <w:rsid w:val="00465EE3"/>
    <w:rsid w:val="00467A08"/>
    <w:rsid w:val="00467B15"/>
    <w:rsid w:val="00467B59"/>
    <w:rsid w:val="00470F9D"/>
    <w:rsid w:val="0047124E"/>
    <w:rsid w:val="004725EE"/>
    <w:rsid w:val="004727F0"/>
    <w:rsid w:val="00473AE8"/>
    <w:rsid w:val="00475B21"/>
    <w:rsid w:val="0047648C"/>
    <w:rsid w:val="00476755"/>
    <w:rsid w:val="00477AAD"/>
    <w:rsid w:val="00481CEC"/>
    <w:rsid w:val="00482DBE"/>
    <w:rsid w:val="00483152"/>
    <w:rsid w:val="0048344F"/>
    <w:rsid w:val="0048394F"/>
    <w:rsid w:val="004848B7"/>
    <w:rsid w:val="004858F0"/>
    <w:rsid w:val="00486B95"/>
    <w:rsid w:val="0048733D"/>
    <w:rsid w:val="00490C39"/>
    <w:rsid w:val="00491062"/>
    <w:rsid w:val="0049152C"/>
    <w:rsid w:val="00491943"/>
    <w:rsid w:val="004972E8"/>
    <w:rsid w:val="004A0D64"/>
    <w:rsid w:val="004A12E2"/>
    <w:rsid w:val="004A1983"/>
    <w:rsid w:val="004A34BB"/>
    <w:rsid w:val="004A6B67"/>
    <w:rsid w:val="004A73D9"/>
    <w:rsid w:val="004B3749"/>
    <w:rsid w:val="004B433A"/>
    <w:rsid w:val="004B4962"/>
    <w:rsid w:val="004B6E92"/>
    <w:rsid w:val="004B7407"/>
    <w:rsid w:val="004B77C7"/>
    <w:rsid w:val="004C0EB6"/>
    <w:rsid w:val="004C0ED6"/>
    <w:rsid w:val="004C102B"/>
    <w:rsid w:val="004C177B"/>
    <w:rsid w:val="004C2A3A"/>
    <w:rsid w:val="004C30EA"/>
    <w:rsid w:val="004C3546"/>
    <w:rsid w:val="004C37A1"/>
    <w:rsid w:val="004C4175"/>
    <w:rsid w:val="004C4823"/>
    <w:rsid w:val="004C4FDC"/>
    <w:rsid w:val="004C64FE"/>
    <w:rsid w:val="004D07F9"/>
    <w:rsid w:val="004D0C64"/>
    <w:rsid w:val="004E11B1"/>
    <w:rsid w:val="004E14BD"/>
    <w:rsid w:val="004E1A87"/>
    <w:rsid w:val="004E3722"/>
    <w:rsid w:val="004F094B"/>
    <w:rsid w:val="004F3B2E"/>
    <w:rsid w:val="004F4139"/>
    <w:rsid w:val="004F4843"/>
    <w:rsid w:val="004F49FB"/>
    <w:rsid w:val="004F4D64"/>
    <w:rsid w:val="004F76AE"/>
    <w:rsid w:val="005001B1"/>
    <w:rsid w:val="0051015D"/>
    <w:rsid w:val="00510C1B"/>
    <w:rsid w:val="00514C01"/>
    <w:rsid w:val="00514FC5"/>
    <w:rsid w:val="00516E79"/>
    <w:rsid w:val="00520356"/>
    <w:rsid w:val="005221F9"/>
    <w:rsid w:val="0052344B"/>
    <w:rsid w:val="00524B33"/>
    <w:rsid w:val="00526B34"/>
    <w:rsid w:val="005278C4"/>
    <w:rsid w:val="00531241"/>
    <w:rsid w:val="00532173"/>
    <w:rsid w:val="00532F70"/>
    <w:rsid w:val="00535752"/>
    <w:rsid w:val="0054094B"/>
    <w:rsid w:val="005418A1"/>
    <w:rsid w:val="00542A7A"/>
    <w:rsid w:val="005432CF"/>
    <w:rsid w:val="00543BBF"/>
    <w:rsid w:val="005440AD"/>
    <w:rsid w:val="00544124"/>
    <w:rsid w:val="00544466"/>
    <w:rsid w:val="00545051"/>
    <w:rsid w:val="0054531D"/>
    <w:rsid w:val="00550194"/>
    <w:rsid w:val="00551B34"/>
    <w:rsid w:val="00553E81"/>
    <w:rsid w:val="005550C0"/>
    <w:rsid w:val="00557F69"/>
    <w:rsid w:val="00561711"/>
    <w:rsid w:val="00562B38"/>
    <w:rsid w:val="00562F86"/>
    <w:rsid w:val="00563CC5"/>
    <w:rsid w:val="005673A1"/>
    <w:rsid w:val="0056778B"/>
    <w:rsid w:val="00570039"/>
    <w:rsid w:val="00571F99"/>
    <w:rsid w:val="0057266D"/>
    <w:rsid w:val="00572F62"/>
    <w:rsid w:val="00575627"/>
    <w:rsid w:val="0057565D"/>
    <w:rsid w:val="005806C7"/>
    <w:rsid w:val="00580D22"/>
    <w:rsid w:val="0058194F"/>
    <w:rsid w:val="0058221B"/>
    <w:rsid w:val="00582CA4"/>
    <w:rsid w:val="00583E73"/>
    <w:rsid w:val="0059047C"/>
    <w:rsid w:val="00592C2C"/>
    <w:rsid w:val="00592CD3"/>
    <w:rsid w:val="00592DDB"/>
    <w:rsid w:val="005933EE"/>
    <w:rsid w:val="00595070"/>
    <w:rsid w:val="00597B4B"/>
    <w:rsid w:val="00597FC4"/>
    <w:rsid w:val="005A03E8"/>
    <w:rsid w:val="005A2299"/>
    <w:rsid w:val="005A261B"/>
    <w:rsid w:val="005A2A33"/>
    <w:rsid w:val="005A2D32"/>
    <w:rsid w:val="005A35AA"/>
    <w:rsid w:val="005A41C2"/>
    <w:rsid w:val="005A5A61"/>
    <w:rsid w:val="005A5F60"/>
    <w:rsid w:val="005A6BE2"/>
    <w:rsid w:val="005A6E23"/>
    <w:rsid w:val="005B1B4E"/>
    <w:rsid w:val="005B2B94"/>
    <w:rsid w:val="005B2DD4"/>
    <w:rsid w:val="005B31C1"/>
    <w:rsid w:val="005B39F1"/>
    <w:rsid w:val="005B4AEA"/>
    <w:rsid w:val="005B592D"/>
    <w:rsid w:val="005B5D9E"/>
    <w:rsid w:val="005C051B"/>
    <w:rsid w:val="005C24D1"/>
    <w:rsid w:val="005C34F2"/>
    <w:rsid w:val="005C353F"/>
    <w:rsid w:val="005C686E"/>
    <w:rsid w:val="005C6B00"/>
    <w:rsid w:val="005C721B"/>
    <w:rsid w:val="005D1420"/>
    <w:rsid w:val="005D14A7"/>
    <w:rsid w:val="005D2BF1"/>
    <w:rsid w:val="005D4BCB"/>
    <w:rsid w:val="005D5A3B"/>
    <w:rsid w:val="005D5F8B"/>
    <w:rsid w:val="005D7A60"/>
    <w:rsid w:val="005E0A45"/>
    <w:rsid w:val="005E0CFE"/>
    <w:rsid w:val="005E107F"/>
    <w:rsid w:val="005E1215"/>
    <w:rsid w:val="005E2901"/>
    <w:rsid w:val="005E2C91"/>
    <w:rsid w:val="005E2D8D"/>
    <w:rsid w:val="005E4C08"/>
    <w:rsid w:val="005E5E6F"/>
    <w:rsid w:val="005E68DE"/>
    <w:rsid w:val="005E79FB"/>
    <w:rsid w:val="005F22F0"/>
    <w:rsid w:val="005F5D2C"/>
    <w:rsid w:val="005F6CCF"/>
    <w:rsid w:val="005F7007"/>
    <w:rsid w:val="00600059"/>
    <w:rsid w:val="006025CF"/>
    <w:rsid w:val="0060277C"/>
    <w:rsid w:val="00605106"/>
    <w:rsid w:val="00605552"/>
    <w:rsid w:val="00607C36"/>
    <w:rsid w:val="0061053C"/>
    <w:rsid w:val="00610ADF"/>
    <w:rsid w:val="00610E99"/>
    <w:rsid w:val="00611147"/>
    <w:rsid w:val="006124D4"/>
    <w:rsid w:val="00613AC3"/>
    <w:rsid w:val="00613B98"/>
    <w:rsid w:val="00614F22"/>
    <w:rsid w:val="00616282"/>
    <w:rsid w:val="00616EF0"/>
    <w:rsid w:val="0061766C"/>
    <w:rsid w:val="00617703"/>
    <w:rsid w:val="00617EB6"/>
    <w:rsid w:val="00620ED7"/>
    <w:rsid w:val="006223E8"/>
    <w:rsid w:val="00624421"/>
    <w:rsid w:val="00625EE6"/>
    <w:rsid w:val="00634750"/>
    <w:rsid w:val="00634B23"/>
    <w:rsid w:val="00634C84"/>
    <w:rsid w:val="00636BBF"/>
    <w:rsid w:val="00637F58"/>
    <w:rsid w:val="006410B1"/>
    <w:rsid w:val="0064421B"/>
    <w:rsid w:val="00644DF6"/>
    <w:rsid w:val="00645EBE"/>
    <w:rsid w:val="00645ED9"/>
    <w:rsid w:val="0064716C"/>
    <w:rsid w:val="00647CDE"/>
    <w:rsid w:val="00647D87"/>
    <w:rsid w:val="006504AC"/>
    <w:rsid w:val="00653357"/>
    <w:rsid w:val="006544CC"/>
    <w:rsid w:val="00654FAB"/>
    <w:rsid w:val="00657A42"/>
    <w:rsid w:val="00660AAF"/>
    <w:rsid w:val="00661486"/>
    <w:rsid w:val="0066316A"/>
    <w:rsid w:val="006635C6"/>
    <w:rsid w:val="00664062"/>
    <w:rsid w:val="00664183"/>
    <w:rsid w:val="00664503"/>
    <w:rsid w:val="00667A1A"/>
    <w:rsid w:val="00670DF0"/>
    <w:rsid w:val="00670FDA"/>
    <w:rsid w:val="00671403"/>
    <w:rsid w:val="006725A9"/>
    <w:rsid w:val="00673341"/>
    <w:rsid w:val="00674B29"/>
    <w:rsid w:val="006759CC"/>
    <w:rsid w:val="006765F7"/>
    <w:rsid w:val="0067774B"/>
    <w:rsid w:val="0068601A"/>
    <w:rsid w:val="006866E2"/>
    <w:rsid w:val="0068795A"/>
    <w:rsid w:val="00690232"/>
    <w:rsid w:val="0069134C"/>
    <w:rsid w:val="0069140E"/>
    <w:rsid w:val="00691AF8"/>
    <w:rsid w:val="00693BE6"/>
    <w:rsid w:val="0069740B"/>
    <w:rsid w:val="006A1D9D"/>
    <w:rsid w:val="006A2980"/>
    <w:rsid w:val="006A2FA3"/>
    <w:rsid w:val="006A41FA"/>
    <w:rsid w:val="006A5588"/>
    <w:rsid w:val="006A7494"/>
    <w:rsid w:val="006A79AD"/>
    <w:rsid w:val="006A7B4D"/>
    <w:rsid w:val="006B025A"/>
    <w:rsid w:val="006B1775"/>
    <w:rsid w:val="006B22CF"/>
    <w:rsid w:val="006B271A"/>
    <w:rsid w:val="006B3D5C"/>
    <w:rsid w:val="006B51B7"/>
    <w:rsid w:val="006B5BAE"/>
    <w:rsid w:val="006B786C"/>
    <w:rsid w:val="006C244C"/>
    <w:rsid w:val="006C603D"/>
    <w:rsid w:val="006C700D"/>
    <w:rsid w:val="006C78A6"/>
    <w:rsid w:val="006D15F0"/>
    <w:rsid w:val="006D2FA9"/>
    <w:rsid w:val="006D30C2"/>
    <w:rsid w:val="006D5061"/>
    <w:rsid w:val="006D5869"/>
    <w:rsid w:val="006E2DE0"/>
    <w:rsid w:val="006E328F"/>
    <w:rsid w:val="006E54D9"/>
    <w:rsid w:val="006E58D4"/>
    <w:rsid w:val="006E7495"/>
    <w:rsid w:val="006F00B1"/>
    <w:rsid w:val="006F183D"/>
    <w:rsid w:val="006F297F"/>
    <w:rsid w:val="006F6235"/>
    <w:rsid w:val="00701119"/>
    <w:rsid w:val="00701F3B"/>
    <w:rsid w:val="007029B2"/>
    <w:rsid w:val="007029E8"/>
    <w:rsid w:val="00702D08"/>
    <w:rsid w:val="00702EE3"/>
    <w:rsid w:val="00703008"/>
    <w:rsid w:val="00705270"/>
    <w:rsid w:val="007061D9"/>
    <w:rsid w:val="00707361"/>
    <w:rsid w:val="00710411"/>
    <w:rsid w:val="0071043D"/>
    <w:rsid w:val="00712140"/>
    <w:rsid w:val="00714C7E"/>
    <w:rsid w:val="00715B60"/>
    <w:rsid w:val="00715C6A"/>
    <w:rsid w:val="00717D58"/>
    <w:rsid w:val="00720A5C"/>
    <w:rsid w:val="00720E2E"/>
    <w:rsid w:val="00721133"/>
    <w:rsid w:val="007229E9"/>
    <w:rsid w:val="00723D17"/>
    <w:rsid w:val="0072794D"/>
    <w:rsid w:val="00731139"/>
    <w:rsid w:val="00732395"/>
    <w:rsid w:val="00733984"/>
    <w:rsid w:val="00734591"/>
    <w:rsid w:val="00735DA0"/>
    <w:rsid w:val="00736939"/>
    <w:rsid w:val="00736C51"/>
    <w:rsid w:val="00742E9A"/>
    <w:rsid w:val="0074522C"/>
    <w:rsid w:val="00752B78"/>
    <w:rsid w:val="007550E2"/>
    <w:rsid w:val="00755862"/>
    <w:rsid w:val="00757E51"/>
    <w:rsid w:val="0076317F"/>
    <w:rsid w:val="007635F3"/>
    <w:rsid w:val="00765BEC"/>
    <w:rsid w:val="00770C44"/>
    <w:rsid w:val="007710BE"/>
    <w:rsid w:val="007711C0"/>
    <w:rsid w:val="00771564"/>
    <w:rsid w:val="00771A2A"/>
    <w:rsid w:val="00773AE9"/>
    <w:rsid w:val="00773FA6"/>
    <w:rsid w:val="007753BE"/>
    <w:rsid w:val="00776C6F"/>
    <w:rsid w:val="00776EDA"/>
    <w:rsid w:val="00781419"/>
    <w:rsid w:val="00781504"/>
    <w:rsid w:val="0078156F"/>
    <w:rsid w:val="00782A2D"/>
    <w:rsid w:val="00783D02"/>
    <w:rsid w:val="00784F46"/>
    <w:rsid w:val="00785405"/>
    <w:rsid w:val="00786B4D"/>
    <w:rsid w:val="00791890"/>
    <w:rsid w:val="00792169"/>
    <w:rsid w:val="0079685C"/>
    <w:rsid w:val="00796B7E"/>
    <w:rsid w:val="00797526"/>
    <w:rsid w:val="007A11DE"/>
    <w:rsid w:val="007A3783"/>
    <w:rsid w:val="007A7097"/>
    <w:rsid w:val="007A755A"/>
    <w:rsid w:val="007B0C8F"/>
    <w:rsid w:val="007B0D18"/>
    <w:rsid w:val="007B1F59"/>
    <w:rsid w:val="007B2A62"/>
    <w:rsid w:val="007B3008"/>
    <w:rsid w:val="007B6DDD"/>
    <w:rsid w:val="007C1910"/>
    <w:rsid w:val="007D0F27"/>
    <w:rsid w:val="007D2FB8"/>
    <w:rsid w:val="007D308A"/>
    <w:rsid w:val="007D311A"/>
    <w:rsid w:val="007D4F7B"/>
    <w:rsid w:val="007D5180"/>
    <w:rsid w:val="007E0062"/>
    <w:rsid w:val="007E0492"/>
    <w:rsid w:val="007E0AB9"/>
    <w:rsid w:val="007E0B84"/>
    <w:rsid w:val="007E1316"/>
    <w:rsid w:val="007E217F"/>
    <w:rsid w:val="007E39D6"/>
    <w:rsid w:val="007E6EB1"/>
    <w:rsid w:val="007E7858"/>
    <w:rsid w:val="007F0673"/>
    <w:rsid w:val="007F0696"/>
    <w:rsid w:val="007F2159"/>
    <w:rsid w:val="007F317E"/>
    <w:rsid w:val="007F3296"/>
    <w:rsid w:val="007F3556"/>
    <w:rsid w:val="007F5C62"/>
    <w:rsid w:val="007F6D33"/>
    <w:rsid w:val="007F7060"/>
    <w:rsid w:val="007F7062"/>
    <w:rsid w:val="007F7AC6"/>
    <w:rsid w:val="00801211"/>
    <w:rsid w:val="00801D80"/>
    <w:rsid w:val="00802371"/>
    <w:rsid w:val="00802A3E"/>
    <w:rsid w:val="00802B44"/>
    <w:rsid w:val="00803824"/>
    <w:rsid w:val="008040A1"/>
    <w:rsid w:val="008069DF"/>
    <w:rsid w:val="00806C91"/>
    <w:rsid w:val="0080770A"/>
    <w:rsid w:val="008128AA"/>
    <w:rsid w:val="008131A3"/>
    <w:rsid w:val="00814086"/>
    <w:rsid w:val="00814529"/>
    <w:rsid w:val="00814B14"/>
    <w:rsid w:val="00815030"/>
    <w:rsid w:val="008154A9"/>
    <w:rsid w:val="00816A4E"/>
    <w:rsid w:val="0082156D"/>
    <w:rsid w:val="00823CD4"/>
    <w:rsid w:val="008244BE"/>
    <w:rsid w:val="00827479"/>
    <w:rsid w:val="0083069C"/>
    <w:rsid w:val="00830FF9"/>
    <w:rsid w:val="0083204B"/>
    <w:rsid w:val="00835B27"/>
    <w:rsid w:val="00836E8E"/>
    <w:rsid w:val="00837715"/>
    <w:rsid w:val="0084095C"/>
    <w:rsid w:val="008410E2"/>
    <w:rsid w:val="00841B61"/>
    <w:rsid w:val="00845BF4"/>
    <w:rsid w:val="00845E31"/>
    <w:rsid w:val="008479B7"/>
    <w:rsid w:val="00851673"/>
    <w:rsid w:val="00851DBA"/>
    <w:rsid w:val="00852E2F"/>
    <w:rsid w:val="00855E01"/>
    <w:rsid w:val="00856163"/>
    <w:rsid w:val="00856169"/>
    <w:rsid w:val="008570D9"/>
    <w:rsid w:val="00857802"/>
    <w:rsid w:val="00860895"/>
    <w:rsid w:val="00860A58"/>
    <w:rsid w:val="00864C2E"/>
    <w:rsid w:val="00865E7E"/>
    <w:rsid w:val="00866074"/>
    <w:rsid w:val="008662C2"/>
    <w:rsid w:val="00866D40"/>
    <w:rsid w:val="00866D93"/>
    <w:rsid w:val="00872D16"/>
    <w:rsid w:val="00875288"/>
    <w:rsid w:val="00877447"/>
    <w:rsid w:val="008775E1"/>
    <w:rsid w:val="0088123A"/>
    <w:rsid w:val="00882EAF"/>
    <w:rsid w:val="008838D2"/>
    <w:rsid w:val="00886A02"/>
    <w:rsid w:val="00890B3E"/>
    <w:rsid w:val="00891BE4"/>
    <w:rsid w:val="008950A8"/>
    <w:rsid w:val="008A0DCC"/>
    <w:rsid w:val="008A375B"/>
    <w:rsid w:val="008A5877"/>
    <w:rsid w:val="008B2877"/>
    <w:rsid w:val="008B32AD"/>
    <w:rsid w:val="008B5C50"/>
    <w:rsid w:val="008B71DE"/>
    <w:rsid w:val="008C3061"/>
    <w:rsid w:val="008C3DE0"/>
    <w:rsid w:val="008C7820"/>
    <w:rsid w:val="008D3454"/>
    <w:rsid w:val="008D3A07"/>
    <w:rsid w:val="008D41DA"/>
    <w:rsid w:val="008D4921"/>
    <w:rsid w:val="008D6C3E"/>
    <w:rsid w:val="008D72A7"/>
    <w:rsid w:val="008E2AC9"/>
    <w:rsid w:val="008E35C4"/>
    <w:rsid w:val="008E7750"/>
    <w:rsid w:val="008F0CC7"/>
    <w:rsid w:val="008F61E2"/>
    <w:rsid w:val="0090439D"/>
    <w:rsid w:val="0090701E"/>
    <w:rsid w:val="009101DC"/>
    <w:rsid w:val="00910279"/>
    <w:rsid w:val="009115D5"/>
    <w:rsid w:val="00912263"/>
    <w:rsid w:val="00912879"/>
    <w:rsid w:val="00913FB6"/>
    <w:rsid w:val="0091436B"/>
    <w:rsid w:val="009148C8"/>
    <w:rsid w:val="00921E5E"/>
    <w:rsid w:val="00922070"/>
    <w:rsid w:val="00922B61"/>
    <w:rsid w:val="00922D8A"/>
    <w:rsid w:val="009239BE"/>
    <w:rsid w:val="00925E61"/>
    <w:rsid w:val="00931DC3"/>
    <w:rsid w:val="00932464"/>
    <w:rsid w:val="0093256A"/>
    <w:rsid w:val="00937A0B"/>
    <w:rsid w:val="00937C25"/>
    <w:rsid w:val="00937D27"/>
    <w:rsid w:val="009476F4"/>
    <w:rsid w:val="009502A8"/>
    <w:rsid w:val="00951AA1"/>
    <w:rsid w:val="00952A92"/>
    <w:rsid w:val="00955B9F"/>
    <w:rsid w:val="00965D51"/>
    <w:rsid w:val="00965F76"/>
    <w:rsid w:val="0096670A"/>
    <w:rsid w:val="00966FA7"/>
    <w:rsid w:val="00967443"/>
    <w:rsid w:val="00970325"/>
    <w:rsid w:val="009705D2"/>
    <w:rsid w:val="00971F52"/>
    <w:rsid w:val="00972B1D"/>
    <w:rsid w:val="009747B6"/>
    <w:rsid w:val="00975AB5"/>
    <w:rsid w:val="00976224"/>
    <w:rsid w:val="00980901"/>
    <w:rsid w:val="009818DC"/>
    <w:rsid w:val="00982B2E"/>
    <w:rsid w:val="0098536E"/>
    <w:rsid w:val="00991A46"/>
    <w:rsid w:val="009A0FB8"/>
    <w:rsid w:val="009A11F4"/>
    <w:rsid w:val="009A171E"/>
    <w:rsid w:val="009A2E37"/>
    <w:rsid w:val="009A34B9"/>
    <w:rsid w:val="009A56A4"/>
    <w:rsid w:val="009A7C43"/>
    <w:rsid w:val="009B0A79"/>
    <w:rsid w:val="009B19B2"/>
    <w:rsid w:val="009B391C"/>
    <w:rsid w:val="009B4B2B"/>
    <w:rsid w:val="009B5DEB"/>
    <w:rsid w:val="009B6659"/>
    <w:rsid w:val="009B6886"/>
    <w:rsid w:val="009B6CEC"/>
    <w:rsid w:val="009C086D"/>
    <w:rsid w:val="009C31A2"/>
    <w:rsid w:val="009C32F2"/>
    <w:rsid w:val="009C422E"/>
    <w:rsid w:val="009C4B32"/>
    <w:rsid w:val="009C5AC0"/>
    <w:rsid w:val="009C69D5"/>
    <w:rsid w:val="009D0907"/>
    <w:rsid w:val="009D1B1C"/>
    <w:rsid w:val="009D1C6F"/>
    <w:rsid w:val="009D23AB"/>
    <w:rsid w:val="009D32E1"/>
    <w:rsid w:val="009D5AC1"/>
    <w:rsid w:val="009D6B4B"/>
    <w:rsid w:val="009D7991"/>
    <w:rsid w:val="009E13D0"/>
    <w:rsid w:val="009E2581"/>
    <w:rsid w:val="009E4A44"/>
    <w:rsid w:val="009E5B8D"/>
    <w:rsid w:val="009E73D2"/>
    <w:rsid w:val="009E7801"/>
    <w:rsid w:val="009F0057"/>
    <w:rsid w:val="009F108F"/>
    <w:rsid w:val="009F23C7"/>
    <w:rsid w:val="009F2474"/>
    <w:rsid w:val="009F2534"/>
    <w:rsid w:val="009F39C3"/>
    <w:rsid w:val="009F53FE"/>
    <w:rsid w:val="009F5590"/>
    <w:rsid w:val="009F5B6E"/>
    <w:rsid w:val="009F61F0"/>
    <w:rsid w:val="009F7720"/>
    <w:rsid w:val="00A0096B"/>
    <w:rsid w:val="00A01ACD"/>
    <w:rsid w:val="00A04A2E"/>
    <w:rsid w:val="00A053B4"/>
    <w:rsid w:val="00A06A67"/>
    <w:rsid w:val="00A079CC"/>
    <w:rsid w:val="00A12141"/>
    <w:rsid w:val="00A128C7"/>
    <w:rsid w:val="00A12BEB"/>
    <w:rsid w:val="00A13E54"/>
    <w:rsid w:val="00A14B60"/>
    <w:rsid w:val="00A1523C"/>
    <w:rsid w:val="00A15286"/>
    <w:rsid w:val="00A15995"/>
    <w:rsid w:val="00A15F85"/>
    <w:rsid w:val="00A16828"/>
    <w:rsid w:val="00A16B2A"/>
    <w:rsid w:val="00A16CE4"/>
    <w:rsid w:val="00A214D8"/>
    <w:rsid w:val="00A22A6F"/>
    <w:rsid w:val="00A240F3"/>
    <w:rsid w:val="00A247F5"/>
    <w:rsid w:val="00A250BA"/>
    <w:rsid w:val="00A26826"/>
    <w:rsid w:val="00A270FC"/>
    <w:rsid w:val="00A31844"/>
    <w:rsid w:val="00A35D4B"/>
    <w:rsid w:val="00A35F70"/>
    <w:rsid w:val="00A40A75"/>
    <w:rsid w:val="00A41197"/>
    <w:rsid w:val="00A41740"/>
    <w:rsid w:val="00A4492E"/>
    <w:rsid w:val="00A451D7"/>
    <w:rsid w:val="00A468AC"/>
    <w:rsid w:val="00A503EC"/>
    <w:rsid w:val="00A50AE0"/>
    <w:rsid w:val="00A548BA"/>
    <w:rsid w:val="00A55EC8"/>
    <w:rsid w:val="00A60FB1"/>
    <w:rsid w:val="00A646F4"/>
    <w:rsid w:val="00A671A5"/>
    <w:rsid w:val="00A70A7A"/>
    <w:rsid w:val="00A72E5D"/>
    <w:rsid w:val="00A73CFB"/>
    <w:rsid w:val="00A7466B"/>
    <w:rsid w:val="00A74BD5"/>
    <w:rsid w:val="00A75744"/>
    <w:rsid w:val="00A7583C"/>
    <w:rsid w:val="00A76032"/>
    <w:rsid w:val="00A80410"/>
    <w:rsid w:val="00A81BD1"/>
    <w:rsid w:val="00A83107"/>
    <w:rsid w:val="00A833DB"/>
    <w:rsid w:val="00A84600"/>
    <w:rsid w:val="00A84898"/>
    <w:rsid w:val="00A85903"/>
    <w:rsid w:val="00A85CB8"/>
    <w:rsid w:val="00A86D2E"/>
    <w:rsid w:val="00A87736"/>
    <w:rsid w:val="00A9180C"/>
    <w:rsid w:val="00A91B86"/>
    <w:rsid w:val="00A91F8E"/>
    <w:rsid w:val="00A942AE"/>
    <w:rsid w:val="00A94D21"/>
    <w:rsid w:val="00A95593"/>
    <w:rsid w:val="00A972C7"/>
    <w:rsid w:val="00A979F4"/>
    <w:rsid w:val="00AA3040"/>
    <w:rsid w:val="00AA3104"/>
    <w:rsid w:val="00AA52FE"/>
    <w:rsid w:val="00AB1751"/>
    <w:rsid w:val="00AB3336"/>
    <w:rsid w:val="00AB3757"/>
    <w:rsid w:val="00AB3792"/>
    <w:rsid w:val="00AB4951"/>
    <w:rsid w:val="00AB5BA4"/>
    <w:rsid w:val="00AB716A"/>
    <w:rsid w:val="00AB7F60"/>
    <w:rsid w:val="00AC015F"/>
    <w:rsid w:val="00AC185F"/>
    <w:rsid w:val="00AC2895"/>
    <w:rsid w:val="00AC2937"/>
    <w:rsid w:val="00AC2E96"/>
    <w:rsid w:val="00AC3D10"/>
    <w:rsid w:val="00AC3F60"/>
    <w:rsid w:val="00AC47C3"/>
    <w:rsid w:val="00AC4D0B"/>
    <w:rsid w:val="00AC6436"/>
    <w:rsid w:val="00AC74D4"/>
    <w:rsid w:val="00AD0017"/>
    <w:rsid w:val="00AD0C0B"/>
    <w:rsid w:val="00AD1A62"/>
    <w:rsid w:val="00AD1E88"/>
    <w:rsid w:val="00AD3D23"/>
    <w:rsid w:val="00AD6601"/>
    <w:rsid w:val="00AE1FE4"/>
    <w:rsid w:val="00AE2AC2"/>
    <w:rsid w:val="00AE4A84"/>
    <w:rsid w:val="00AE512D"/>
    <w:rsid w:val="00AE67A7"/>
    <w:rsid w:val="00AE7300"/>
    <w:rsid w:val="00AF7F4C"/>
    <w:rsid w:val="00B00AC2"/>
    <w:rsid w:val="00B028B4"/>
    <w:rsid w:val="00B0310B"/>
    <w:rsid w:val="00B036A2"/>
    <w:rsid w:val="00B040F6"/>
    <w:rsid w:val="00B048CE"/>
    <w:rsid w:val="00B05ACD"/>
    <w:rsid w:val="00B067F9"/>
    <w:rsid w:val="00B07B5C"/>
    <w:rsid w:val="00B11AAC"/>
    <w:rsid w:val="00B12225"/>
    <w:rsid w:val="00B134DF"/>
    <w:rsid w:val="00B140B1"/>
    <w:rsid w:val="00B179C3"/>
    <w:rsid w:val="00B20056"/>
    <w:rsid w:val="00B21DD7"/>
    <w:rsid w:val="00B22A7D"/>
    <w:rsid w:val="00B2310D"/>
    <w:rsid w:val="00B23133"/>
    <w:rsid w:val="00B2420D"/>
    <w:rsid w:val="00B254BA"/>
    <w:rsid w:val="00B274F6"/>
    <w:rsid w:val="00B2753A"/>
    <w:rsid w:val="00B3165B"/>
    <w:rsid w:val="00B317A7"/>
    <w:rsid w:val="00B3237B"/>
    <w:rsid w:val="00B33E99"/>
    <w:rsid w:val="00B359D8"/>
    <w:rsid w:val="00B3632A"/>
    <w:rsid w:val="00B3727A"/>
    <w:rsid w:val="00B37436"/>
    <w:rsid w:val="00B37DD4"/>
    <w:rsid w:val="00B41705"/>
    <w:rsid w:val="00B4248B"/>
    <w:rsid w:val="00B42720"/>
    <w:rsid w:val="00B42F31"/>
    <w:rsid w:val="00B43C51"/>
    <w:rsid w:val="00B444DE"/>
    <w:rsid w:val="00B44809"/>
    <w:rsid w:val="00B50913"/>
    <w:rsid w:val="00B54228"/>
    <w:rsid w:val="00B546DA"/>
    <w:rsid w:val="00B552C1"/>
    <w:rsid w:val="00B561A4"/>
    <w:rsid w:val="00B56890"/>
    <w:rsid w:val="00B568AA"/>
    <w:rsid w:val="00B56BDF"/>
    <w:rsid w:val="00B57CA1"/>
    <w:rsid w:val="00B607F6"/>
    <w:rsid w:val="00B617B1"/>
    <w:rsid w:val="00B62009"/>
    <w:rsid w:val="00B630E4"/>
    <w:rsid w:val="00B64B5D"/>
    <w:rsid w:val="00B655C2"/>
    <w:rsid w:val="00B65BFB"/>
    <w:rsid w:val="00B65D00"/>
    <w:rsid w:val="00B720D9"/>
    <w:rsid w:val="00B73D94"/>
    <w:rsid w:val="00B745AF"/>
    <w:rsid w:val="00B7558A"/>
    <w:rsid w:val="00B84A02"/>
    <w:rsid w:val="00B85304"/>
    <w:rsid w:val="00B853C1"/>
    <w:rsid w:val="00B85658"/>
    <w:rsid w:val="00B8566F"/>
    <w:rsid w:val="00B85E04"/>
    <w:rsid w:val="00B85F36"/>
    <w:rsid w:val="00B86B8F"/>
    <w:rsid w:val="00B9050A"/>
    <w:rsid w:val="00B920AE"/>
    <w:rsid w:val="00B921B8"/>
    <w:rsid w:val="00B94037"/>
    <w:rsid w:val="00B94123"/>
    <w:rsid w:val="00B94477"/>
    <w:rsid w:val="00B95315"/>
    <w:rsid w:val="00B97958"/>
    <w:rsid w:val="00BA2B00"/>
    <w:rsid w:val="00BA2DE7"/>
    <w:rsid w:val="00BA3BED"/>
    <w:rsid w:val="00BA3D09"/>
    <w:rsid w:val="00BA523C"/>
    <w:rsid w:val="00BA721C"/>
    <w:rsid w:val="00BB3EFD"/>
    <w:rsid w:val="00BB40E6"/>
    <w:rsid w:val="00BB4189"/>
    <w:rsid w:val="00BB6C12"/>
    <w:rsid w:val="00BC1072"/>
    <w:rsid w:val="00BC15BB"/>
    <w:rsid w:val="00BC1610"/>
    <w:rsid w:val="00BC32C9"/>
    <w:rsid w:val="00BC4DB8"/>
    <w:rsid w:val="00BC5E55"/>
    <w:rsid w:val="00BC6415"/>
    <w:rsid w:val="00BC6E80"/>
    <w:rsid w:val="00BC6EA3"/>
    <w:rsid w:val="00BC7ED4"/>
    <w:rsid w:val="00BD174C"/>
    <w:rsid w:val="00BD20C0"/>
    <w:rsid w:val="00BD2562"/>
    <w:rsid w:val="00BD6CBF"/>
    <w:rsid w:val="00BE0CE7"/>
    <w:rsid w:val="00BE1189"/>
    <w:rsid w:val="00BE32C1"/>
    <w:rsid w:val="00BE4F26"/>
    <w:rsid w:val="00BE5D73"/>
    <w:rsid w:val="00BE6B3E"/>
    <w:rsid w:val="00BF00C5"/>
    <w:rsid w:val="00BF066D"/>
    <w:rsid w:val="00BF066F"/>
    <w:rsid w:val="00BF44F3"/>
    <w:rsid w:val="00BF5DE7"/>
    <w:rsid w:val="00C00E12"/>
    <w:rsid w:val="00C01A55"/>
    <w:rsid w:val="00C0484D"/>
    <w:rsid w:val="00C05550"/>
    <w:rsid w:val="00C05F06"/>
    <w:rsid w:val="00C06999"/>
    <w:rsid w:val="00C1039F"/>
    <w:rsid w:val="00C11B8D"/>
    <w:rsid w:val="00C14032"/>
    <w:rsid w:val="00C168AA"/>
    <w:rsid w:val="00C16DA9"/>
    <w:rsid w:val="00C17CC7"/>
    <w:rsid w:val="00C20971"/>
    <w:rsid w:val="00C21FE9"/>
    <w:rsid w:val="00C22C3B"/>
    <w:rsid w:val="00C24700"/>
    <w:rsid w:val="00C24871"/>
    <w:rsid w:val="00C24C7C"/>
    <w:rsid w:val="00C25F2E"/>
    <w:rsid w:val="00C275AD"/>
    <w:rsid w:val="00C332E1"/>
    <w:rsid w:val="00C33A89"/>
    <w:rsid w:val="00C340FF"/>
    <w:rsid w:val="00C35CA5"/>
    <w:rsid w:val="00C363E9"/>
    <w:rsid w:val="00C4135D"/>
    <w:rsid w:val="00C425AE"/>
    <w:rsid w:val="00C431FA"/>
    <w:rsid w:val="00C44B07"/>
    <w:rsid w:val="00C44C19"/>
    <w:rsid w:val="00C44D56"/>
    <w:rsid w:val="00C46F7B"/>
    <w:rsid w:val="00C47D0C"/>
    <w:rsid w:val="00C53FD0"/>
    <w:rsid w:val="00C5460C"/>
    <w:rsid w:val="00C54704"/>
    <w:rsid w:val="00C56D49"/>
    <w:rsid w:val="00C61D52"/>
    <w:rsid w:val="00C63A77"/>
    <w:rsid w:val="00C662C5"/>
    <w:rsid w:val="00C676C1"/>
    <w:rsid w:val="00C709D0"/>
    <w:rsid w:val="00C73B19"/>
    <w:rsid w:val="00C74F61"/>
    <w:rsid w:val="00C75961"/>
    <w:rsid w:val="00C7638F"/>
    <w:rsid w:val="00C776DE"/>
    <w:rsid w:val="00C807D2"/>
    <w:rsid w:val="00C80B6A"/>
    <w:rsid w:val="00C811D3"/>
    <w:rsid w:val="00C81C0E"/>
    <w:rsid w:val="00C829E0"/>
    <w:rsid w:val="00C82D28"/>
    <w:rsid w:val="00C82EB8"/>
    <w:rsid w:val="00C83027"/>
    <w:rsid w:val="00C83101"/>
    <w:rsid w:val="00C84397"/>
    <w:rsid w:val="00C8665A"/>
    <w:rsid w:val="00C86675"/>
    <w:rsid w:val="00C8798A"/>
    <w:rsid w:val="00C90D83"/>
    <w:rsid w:val="00C91AD3"/>
    <w:rsid w:val="00C925F9"/>
    <w:rsid w:val="00C948BD"/>
    <w:rsid w:val="00C949E2"/>
    <w:rsid w:val="00C94FB7"/>
    <w:rsid w:val="00C950D3"/>
    <w:rsid w:val="00C97DE7"/>
    <w:rsid w:val="00CA00D2"/>
    <w:rsid w:val="00CA14C0"/>
    <w:rsid w:val="00CA1559"/>
    <w:rsid w:val="00CA49A3"/>
    <w:rsid w:val="00CA4B84"/>
    <w:rsid w:val="00CA4F0F"/>
    <w:rsid w:val="00CA5029"/>
    <w:rsid w:val="00CA5538"/>
    <w:rsid w:val="00CA59C7"/>
    <w:rsid w:val="00CA60BB"/>
    <w:rsid w:val="00CB0331"/>
    <w:rsid w:val="00CB0BF9"/>
    <w:rsid w:val="00CB1F49"/>
    <w:rsid w:val="00CB2525"/>
    <w:rsid w:val="00CB4FD6"/>
    <w:rsid w:val="00CB60F1"/>
    <w:rsid w:val="00CB62C7"/>
    <w:rsid w:val="00CB63A2"/>
    <w:rsid w:val="00CB719C"/>
    <w:rsid w:val="00CB7548"/>
    <w:rsid w:val="00CC09AC"/>
    <w:rsid w:val="00CC0C5E"/>
    <w:rsid w:val="00CC2214"/>
    <w:rsid w:val="00CC3D17"/>
    <w:rsid w:val="00CD0376"/>
    <w:rsid w:val="00CD0D45"/>
    <w:rsid w:val="00CD0DEE"/>
    <w:rsid w:val="00CD127A"/>
    <w:rsid w:val="00CD291C"/>
    <w:rsid w:val="00CD4774"/>
    <w:rsid w:val="00CD5136"/>
    <w:rsid w:val="00CD564D"/>
    <w:rsid w:val="00CD5763"/>
    <w:rsid w:val="00CE0B39"/>
    <w:rsid w:val="00CE5B3E"/>
    <w:rsid w:val="00CE5B76"/>
    <w:rsid w:val="00CF08C0"/>
    <w:rsid w:val="00CF124E"/>
    <w:rsid w:val="00CF1B17"/>
    <w:rsid w:val="00CF3CDA"/>
    <w:rsid w:val="00CF5416"/>
    <w:rsid w:val="00CF74C0"/>
    <w:rsid w:val="00CF7814"/>
    <w:rsid w:val="00D00F91"/>
    <w:rsid w:val="00D01330"/>
    <w:rsid w:val="00D02FE8"/>
    <w:rsid w:val="00D03AC5"/>
    <w:rsid w:val="00D049A5"/>
    <w:rsid w:val="00D0519B"/>
    <w:rsid w:val="00D06CA3"/>
    <w:rsid w:val="00D11522"/>
    <w:rsid w:val="00D115C4"/>
    <w:rsid w:val="00D11CE7"/>
    <w:rsid w:val="00D12762"/>
    <w:rsid w:val="00D156E0"/>
    <w:rsid w:val="00D15DEC"/>
    <w:rsid w:val="00D16D61"/>
    <w:rsid w:val="00D176E2"/>
    <w:rsid w:val="00D17F75"/>
    <w:rsid w:val="00D24386"/>
    <w:rsid w:val="00D24994"/>
    <w:rsid w:val="00D2615A"/>
    <w:rsid w:val="00D3062D"/>
    <w:rsid w:val="00D30E4D"/>
    <w:rsid w:val="00D3172D"/>
    <w:rsid w:val="00D32D40"/>
    <w:rsid w:val="00D33D6A"/>
    <w:rsid w:val="00D35748"/>
    <w:rsid w:val="00D358D6"/>
    <w:rsid w:val="00D4054E"/>
    <w:rsid w:val="00D4073F"/>
    <w:rsid w:val="00D41314"/>
    <w:rsid w:val="00D44A4B"/>
    <w:rsid w:val="00D452E8"/>
    <w:rsid w:val="00D47553"/>
    <w:rsid w:val="00D5606E"/>
    <w:rsid w:val="00D60772"/>
    <w:rsid w:val="00D61D17"/>
    <w:rsid w:val="00D62840"/>
    <w:rsid w:val="00D63341"/>
    <w:rsid w:val="00D651CF"/>
    <w:rsid w:val="00D6625C"/>
    <w:rsid w:val="00D6696A"/>
    <w:rsid w:val="00D70C82"/>
    <w:rsid w:val="00D73EA6"/>
    <w:rsid w:val="00D75219"/>
    <w:rsid w:val="00D758C4"/>
    <w:rsid w:val="00D76F05"/>
    <w:rsid w:val="00D77195"/>
    <w:rsid w:val="00D8065F"/>
    <w:rsid w:val="00D8084E"/>
    <w:rsid w:val="00D80DB6"/>
    <w:rsid w:val="00D814D3"/>
    <w:rsid w:val="00D815E3"/>
    <w:rsid w:val="00D81ACA"/>
    <w:rsid w:val="00D84074"/>
    <w:rsid w:val="00D8687F"/>
    <w:rsid w:val="00D86F16"/>
    <w:rsid w:val="00D902DE"/>
    <w:rsid w:val="00D90AD2"/>
    <w:rsid w:val="00D92533"/>
    <w:rsid w:val="00D927F8"/>
    <w:rsid w:val="00D942AB"/>
    <w:rsid w:val="00D955E1"/>
    <w:rsid w:val="00D95AD3"/>
    <w:rsid w:val="00D95DDA"/>
    <w:rsid w:val="00D97749"/>
    <w:rsid w:val="00D97DB6"/>
    <w:rsid w:val="00DA0476"/>
    <w:rsid w:val="00DA08AE"/>
    <w:rsid w:val="00DA0B35"/>
    <w:rsid w:val="00DA1CA6"/>
    <w:rsid w:val="00DA2F5A"/>
    <w:rsid w:val="00DA5F33"/>
    <w:rsid w:val="00DA6F60"/>
    <w:rsid w:val="00DA7021"/>
    <w:rsid w:val="00DA7256"/>
    <w:rsid w:val="00DB2FA5"/>
    <w:rsid w:val="00DC04D7"/>
    <w:rsid w:val="00DC2CDC"/>
    <w:rsid w:val="00DC3B27"/>
    <w:rsid w:val="00DC3B89"/>
    <w:rsid w:val="00DC427C"/>
    <w:rsid w:val="00DC5130"/>
    <w:rsid w:val="00DC578D"/>
    <w:rsid w:val="00DC6B30"/>
    <w:rsid w:val="00DC6DFB"/>
    <w:rsid w:val="00DD22D1"/>
    <w:rsid w:val="00DD3D75"/>
    <w:rsid w:val="00DD4E79"/>
    <w:rsid w:val="00DD4F7B"/>
    <w:rsid w:val="00DE12F3"/>
    <w:rsid w:val="00DE2181"/>
    <w:rsid w:val="00DE27C1"/>
    <w:rsid w:val="00DE2FAB"/>
    <w:rsid w:val="00DE371F"/>
    <w:rsid w:val="00DE3728"/>
    <w:rsid w:val="00DE5A64"/>
    <w:rsid w:val="00DF1703"/>
    <w:rsid w:val="00DF219B"/>
    <w:rsid w:val="00DF4F81"/>
    <w:rsid w:val="00DF6060"/>
    <w:rsid w:val="00DF6556"/>
    <w:rsid w:val="00DF6BDC"/>
    <w:rsid w:val="00DF7099"/>
    <w:rsid w:val="00E00E70"/>
    <w:rsid w:val="00E014CF"/>
    <w:rsid w:val="00E0259F"/>
    <w:rsid w:val="00E02B7D"/>
    <w:rsid w:val="00E03DEC"/>
    <w:rsid w:val="00E04A99"/>
    <w:rsid w:val="00E10FD6"/>
    <w:rsid w:val="00E13465"/>
    <w:rsid w:val="00E14839"/>
    <w:rsid w:val="00E150F0"/>
    <w:rsid w:val="00E166CE"/>
    <w:rsid w:val="00E16AA5"/>
    <w:rsid w:val="00E16D05"/>
    <w:rsid w:val="00E20852"/>
    <w:rsid w:val="00E21BE7"/>
    <w:rsid w:val="00E23244"/>
    <w:rsid w:val="00E25D3D"/>
    <w:rsid w:val="00E262E6"/>
    <w:rsid w:val="00E262F8"/>
    <w:rsid w:val="00E277E8"/>
    <w:rsid w:val="00E2797D"/>
    <w:rsid w:val="00E32C99"/>
    <w:rsid w:val="00E33205"/>
    <w:rsid w:val="00E344CD"/>
    <w:rsid w:val="00E361FF"/>
    <w:rsid w:val="00E363CF"/>
    <w:rsid w:val="00E42CF4"/>
    <w:rsid w:val="00E43DE1"/>
    <w:rsid w:val="00E43E18"/>
    <w:rsid w:val="00E47B25"/>
    <w:rsid w:val="00E50618"/>
    <w:rsid w:val="00E50876"/>
    <w:rsid w:val="00E50AED"/>
    <w:rsid w:val="00E52607"/>
    <w:rsid w:val="00E531CB"/>
    <w:rsid w:val="00E5653C"/>
    <w:rsid w:val="00E60D4F"/>
    <w:rsid w:val="00E613C1"/>
    <w:rsid w:val="00E61CBB"/>
    <w:rsid w:val="00E61D94"/>
    <w:rsid w:val="00E6202D"/>
    <w:rsid w:val="00E63157"/>
    <w:rsid w:val="00E63914"/>
    <w:rsid w:val="00E64109"/>
    <w:rsid w:val="00E6573A"/>
    <w:rsid w:val="00E673ED"/>
    <w:rsid w:val="00E676DE"/>
    <w:rsid w:val="00E67C87"/>
    <w:rsid w:val="00E70B72"/>
    <w:rsid w:val="00E71952"/>
    <w:rsid w:val="00E721C8"/>
    <w:rsid w:val="00E737B6"/>
    <w:rsid w:val="00E737E2"/>
    <w:rsid w:val="00E7395C"/>
    <w:rsid w:val="00E74BEB"/>
    <w:rsid w:val="00E81543"/>
    <w:rsid w:val="00E81767"/>
    <w:rsid w:val="00E8235F"/>
    <w:rsid w:val="00E842C3"/>
    <w:rsid w:val="00E86695"/>
    <w:rsid w:val="00E868F1"/>
    <w:rsid w:val="00E87C8D"/>
    <w:rsid w:val="00E92450"/>
    <w:rsid w:val="00E93139"/>
    <w:rsid w:val="00E94080"/>
    <w:rsid w:val="00E95D77"/>
    <w:rsid w:val="00EA3B24"/>
    <w:rsid w:val="00EA4B33"/>
    <w:rsid w:val="00EA5446"/>
    <w:rsid w:val="00EA7784"/>
    <w:rsid w:val="00EB07C0"/>
    <w:rsid w:val="00EB0B1F"/>
    <w:rsid w:val="00EB0ED3"/>
    <w:rsid w:val="00EB297E"/>
    <w:rsid w:val="00EB3FEE"/>
    <w:rsid w:val="00EB7763"/>
    <w:rsid w:val="00EB7998"/>
    <w:rsid w:val="00EC092D"/>
    <w:rsid w:val="00EC1CB9"/>
    <w:rsid w:val="00EC4802"/>
    <w:rsid w:val="00EC4C8A"/>
    <w:rsid w:val="00ED0131"/>
    <w:rsid w:val="00ED0409"/>
    <w:rsid w:val="00ED0A51"/>
    <w:rsid w:val="00ED1268"/>
    <w:rsid w:val="00ED2B1C"/>
    <w:rsid w:val="00ED38A9"/>
    <w:rsid w:val="00ED4813"/>
    <w:rsid w:val="00EE00B5"/>
    <w:rsid w:val="00EE1CA8"/>
    <w:rsid w:val="00EE2352"/>
    <w:rsid w:val="00EE757B"/>
    <w:rsid w:val="00EE7BE5"/>
    <w:rsid w:val="00EF0D9B"/>
    <w:rsid w:val="00EF147A"/>
    <w:rsid w:val="00EF1B91"/>
    <w:rsid w:val="00EF2CCB"/>
    <w:rsid w:val="00EF35E3"/>
    <w:rsid w:val="00F017F8"/>
    <w:rsid w:val="00F02154"/>
    <w:rsid w:val="00F02E31"/>
    <w:rsid w:val="00F03110"/>
    <w:rsid w:val="00F032AB"/>
    <w:rsid w:val="00F03923"/>
    <w:rsid w:val="00F057A7"/>
    <w:rsid w:val="00F05C4D"/>
    <w:rsid w:val="00F065FF"/>
    <w:rsid w:val="00F06740"/>
    <w:rsid w:val="00F07050"/>
    <w:rsid w:val="00F07E6A"/>
    <w:rsid w:val="00F10B94"/>
    <w:rsid w:val="00F11D33"/>
    <w:rsid w:val="00F12344"/>
    <w:rsid w:val="00F124AF"/>
    <w:rsid w:val="00F218C9"/>
    <w:rsid w:val="00F21D7C"/>
    <w:rsid w:val="00F23893"/>
    <w:rsid w:val="00F261A8"/>
    <w:rsid w:val="00F26D52"/>
    <w:rsid w:val="00F30116"/>
    <w:rsid w:val="00F31FB2"/>
    <w:rsid w:val="00F3204E"/>
    <w:rsid w:val="00F3257A"/>
    <w:rsid w:val="00F328FC"/>
    <w:rsid w:val="00F338FC"/>
    <w:rsid w:val="00F35A01"/>
    <w:rsid w:val="00F400F0"/>
    <w:rsid w:val="00F41495"/>
    <w:rsid w:val="00F42ACD"/>
    <w:rsid w:val="00F42E56"/>
    <w:rsid w:val="00F43E47"/>
    <w:rsid w:val="00F45A31"/>
    <w:rsid w:val="00F4660B"/>
    <w:rsid w:val="00F47928"/>
    <w:rsid w:val="00F51D5A"/>
    <w:rsid w:val="00F5261E"/>
    <w:rsid w:val="00F53881"/>
    <w:rsid w:val="00F53D4D"/>
    <w:rsid w:val="00F542EF"/>
    <w:rsid w:val="00F550AD"/>
    <w:rsid w:val="00F56B31"/>
    <w:rsid w:val="00F56FA7"/>
    <w:rsid w:val="00F57B3F"/>
    <w:rsid w:val="00F62851"/>
    <w:rsid w:val="00F62E1F"/>
    <w:rsid w:val="00F64B39"/>
    <w:rsid w:val="00F714DB"/>
    <w:rsid w:val="00F72250"/>
    <w:rsid w:val="00F73202"/>
    <w:rsid w:val="00F73880"/>
    <w:rsid w:val="00F74DE3"/>
    <w:rsid w:val="00F82590"/>
    <w:rsid w:val="00F8375A"/>
    <w:rsid w:val="00F84336"/>
    <w:rsid w:val="00F86810"/>
    <w:rsid w:val="00F86AED"/>
    <w:rsid w:val="00F90259"/>
    <w:rsid w:val="00F90DC3"/>
    <w:rsid w:val="00F931AE"/>
    <w:rsid w:val="00F954E3"/>
    <w:rsid w:val="00F97965"/>
    <w:rsid w:val="00FA1F41"/>
    <w:rsid w:val="00FA1FDD"/>
    <w:rsid w:val="00FA4613"/>
    <w:rsid w:val="00FA5425"/>
    <w:rsid w:val="00FA5832"/>
    <w:rsid w:val="00FA5C15"/>
    <w:rsid w:val="00FA69E0"/>
    <w:rsid w:val="00FA7B60"/>
    <w:rsid w:val="00FB06C7"/>
    <w:rsid w:val="00FB0DA0"/>
    <w:rsid w:val="00FB4E9E"/>
    <w:rsid w:val="00FB513D"/>
    <w:rsid w:val="00FC1159"/>
    <w:rsid w:val="00FC182A"/>
    <w:rsid w:val="00FC4357"/>
    <w:rsid w:val="00FC51A0"/>
    <w:rsid w:val="00FC5377"/>
    <w:rsid w:val="00FC5E61"/>
    <w:rsid w:val="00FC65A4"/>
    <w:rsid w:val="00FC6A6E"/>
    <w:rsid w:val="00FC6D79"/>
    <w:rsid w:val="00FD1D3C"/>
    <w:rsid w:val="00FD2B57"/>
    <w:rsid w:val="00FD3B74"/>
    <w:rsid w:val="00FD4884"/>
    <w:rsid w:val="00FD49D9"/>
    <w:rsid w:val="00FD5AEC"/>
    <w:rsid w:val="00FD78A6"/>
    <w:rsid w:val="00FE0653"/>
    <w:rsid w:val="00FE1336"/>
    <w:rsid w:val="00FE1403"/>
    <w:rsid w:val="00FE2841"/>
    <w:rsid w:val="00FE35C7"/>
    <w:rsid w:val="00FE4E42"/>
    <w:rsid w:val="00FE78ED"/>
    <w:rsid w:val="00FF0516"/>
    <w:rsid w:val="00FF072B"/>
    <w:rsid w:val="00FF0D53"/>
    <w:rsid w:val="00FF66AC"/>
    <w:rsid w:val="00FF786B"/>
    <w:rsid w:val="0ED609C6"/>
    <w:rsid w:val="0F1CA3A0"/>
    <w:rsid w:val="1E481B0C"/>
    <w:rsid w:val="47EA735C"/>
    <w:rsid w:val="5DF15731"/>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6BFA321"/>
  <w15:docId w15:val="{9AD849D9-07AA-4BC2-924E-C19C5CABF0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177A5"/>
    <w:rPr>
      <w:rFonts w:ascii="Times New Roman" w:eastAsia="Times New Roman" w:hAnsi="Times New Roman" w:cs="Times New Roman"/>
      <w:kern w:val="0"/>
      <w:lang w:eastAsia="en-GB"/>
      <w14:ligatures w14:val="none"/>
    </w:rPr>
  </w:style>
  <w:style w:type="paragraph" w:styleId="Heading1">
    <w:name w:val="heading 1"/>
    <w:basedOn w:val="Normal"/>
    <w:next w:val="Normal"/>
    <w:link w:val="Heading1Char"/>
    <w:uiPriority w:val="9"/>
    <w:qFormat/>
    <w:rsid w:val="009F5B6E"/>
    <w:pPr>
      <w:keepNext/>
      <w:keepLines/>
      <w:numPr>
        <w:numId w:val="3"/>
      </w:numPr>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9F5B6E"/>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531241"/>
    <w:pPr>
      <w:keepNext/>
      <w:keepLines/>
      <w:spacing w:before="40"/>
      <w:outlineLvl w:val="2"/>
    </w:pPr>
    <w:rPr>
      <w:rFonts w:asciiTheme="majorHAnsi" w:eastAsiaTheme="majorEastAsia" w:hAnsiTheme="majorHAnsi" w:cstheme="majorBidi"/>
      <w:color w:val="1F3763" w:themeColor="accent1" w:themeShade="7F"/>
      <w:sz w:val="22"/>
    </w:rPr>
  </w:style>
  <w:style w:type="paragraph" w:styleId="Heading4">
    <w:name w:val="heading 4"/>
    <w:basedOn w:val="Normal"/>
    <w:link w:val="Heading4Char"/>
    <w:uiPriority w:val="9"/>
    <w:qFormat/>
    <w:rsid w:val="001B70CE"/>
    <w:pPr>
      <w:spacing w:before="100" w:beforeAutospacing="1" w:after="100" w:afterAutospacing="1"/>
      <w:outlineLvl w:val="3"/>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Citation List,List Paragraph (numbered (a)),references,List Paragraph1,List Item,LIST OF TABLES.,Colorful List - Accent 12,Proposal Heading 1.1,List Paragraph11,lp1,Bullet paras,Use Case List Paragraph,Main numbered paragraph,Bullets"/>
    <w:basedOn w:val="Normal"/>
    <w:link w:val="ListParagraphChar"/>
    <w:qFormat/>
    <w:rsid w:val="00FC5377"/>
    <w:pPr>
      <w:ind w:left="720"/>
      <w:contextualSpacing/>
    </w:pPr>
  </w:style>
  <w:style w:type="character" w:customStyle="1" w:styleId="Heading4Char">
    <w:name w:val="Heading 4 Char"/>
    <w:basedOn w:val="DefaultParagraphFont"/>
    <w:link w:val="Heading4"/>
    <w:uiPriority w:val="9"/>
    <w:rsid w:val="001B70CE"/>
    <w:rPr>
      <w:rFonts w:ascii="Times New Roman" w:eastAsia="Times New Roman" w:hAnsi="Times New Roman" w:cs="Times New Roman"/>
      <w:b/>
      <w:bCs/>
      <w:kern w:val="0"/>
      <w:lang w:eastAsia="en-GB"/>
      <w14:ligatures w14:val="none"/>
    </w:rPr>
  </w:style>
  <w:style w:type="character" w:customStyle="1" w:styleId="Heading3Char">
    <w:name w:val="Heading 3 Char"/>
    <w:basedOn w:val="DefaultParagraphFont"/>
    <w:link w:val="Heading3"/>
    <w:uiPriority w:val="9"/>
    <w:rsid w:val="00531241"/>
    <w:rPr>
      <w:rFonts w:asciiTheme="majorHAnsi" w:eastAsiaTheme="majorEastAsia" w:hAnsiTheme="majorHAnsi" w:cstheme="majorBidi"/>
      <w:color w:val="1F3763" w:themeColor="accent1" w:themeShade="7F"/>
      <w:kern w:val="0"/>
      <w:sz w:val="22"/>
      <w:lang w:eastAsia="en-GB"/>
      <w14:ligatures w14:val="none"/>
    </w:rPr>
  </w:style>
  <w:style w:type="table" w:styleId="TableGrid">
    <w:name w:val="Table Grid"/>
    <w:basedOn w:val="TableNormal"/>
    <w:uiPriority w:val="39"/>
    <w:rsid w:val="00FD3B7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unhideWhenUsed/>
    <w:rsid w:val="002B5AF7"/>
    <w:rPr>
      <w:sz w:val="20"/>
      <w:szCs w:val="20"/>
    </w:rPr>
  </w:style>
  <w:style w:type="character" w:customStyle="1" w:styleId="FootnoteTextChar">
    <w:name w:val="Footnote Text Char"/>
    <w:basedOn w:val="DefaultParagraphFont"/>
    <w:link w:val="FootnoteText"/>
    <w:uiPriority w:val="99"/>
    <w:rsid w:val="002B5AF7"/>
    <w:rPr>
      <w:rFonts w:ascii="Times New Roman" w:eastAsia="Times New Roman" w:hAnsi="Times New Roman" w:cs="Times New Roman"/>
      <w:kern w:val="0"/>
      <w:sz w:val="20"/>
      <w:szCs w:val="20"/>
      <w:lang w:eastAsia="en-GB"/>
      <w14:ligatures w14:val="none"/>
    </w:rPr>
  </w:style>
  <w:style w:type="character" w:styleId="FootnoteReference">
    <w:name w:val="footnote reference"/>
    <w:basedOn w:val="DefaultParagraphFont"/>
    <w:uiPriority w:val="99"/>
    <w:unhideWhenUsed/>
    <w:rsid w:val="002B5AF7"/>
    <w:rPr>
      <w:vertAlign w:val="superscript"/>
    </w:rPr>
  </w:style>
  <w:style w:type="paragraph" w:styleId="Header">
    <w:name w:val="header"/>
    <w:basedOn w:val="Normal"/>
    <w:link w:val="HeaderChar"/>
    <w:uiPriority w:val="99"/>
    <w:unhideWhenUsed/>
    <w:rsid w:val="002B5AF7"/>
    <w:pPr>
      <w:tabs>
        <w:tab w:val="center" w:pos="4513"/>
        <w:tab w:val="right" w:pos="9026"/>
      </w:tabs>
    </w:pPr>
  </w:style>
  <w:style w:type="character" w:customStyle="1" w:styleId="HeaderChar">
    <w:name w:val="Header Char"/>
    <w:basedOn w:val="DefaultParagraphFont"/>
    <w:link w:val="Header"/>
    <w:uiPriority w:val="99"/>
    <w:rsid w:val="002B5AF7"/>
    <w:rPr>
      <w:rFonts w:ascii="Times New Roman" w:eastAsia="Times New Roman" w:hAnsi="Times New Roman" w:cs="Times New Roman"/>
      <w:kern w:val="0"/>
      <w:lang w:eastAsia="en-GB"/>
      <w14:ligatures w14:val="none"/>
    </w:rPr>
  </w:style>
  <w:style w:type="paragraph" w:styleId="Footer">
    <w:name w:val="footer"/>
    <w:basedOn w:val="Normal"/>
    <w:link w:val="FooterChar"/>
    <w:uiPriority w:val="99"/>
    <w:unhideWhenUsed/>
    <w:rsid w:val="002B5AF7"/>
    <w:pPr>
      <w:tabs>
        <w:tab w:val="center" w:pos="4513"/>
        <w:tab w:val="right" w:pos="9026"/>
      </w:tabs>
    </w:pPr>
  </w:style>
  <w:style w:type="character" w:customStyle="1" w:styleId="FooterChar">
    <w:name w:val="Footer Char"/>
    <w:basedOn w:val="DefaultParagraphFont"/>
    <w:link w:val="Footer"/>
    <w:uiPriority w:val="99"/>
    <w:rsid w:val="002B5AF7"/>
    <w:rPr>
      <w:rFonts w:ascii="Times New Roman" w:eastAsia="Times New Roman" w:hAnsi="Times New Roman" w:cs="Times New Roman"/>
      <w:kern w:val="0"/>
      <w:lang w:eastAsia="en-GB"/>
      <w14:ligatures w14:val="none"/>
    </w:rPr>
  </w:style>
  <w:style w:type="paragraph" w:styleId="EndnoteText">
    <w:name w:val="endnote text"/>
    <w:basedOn w:val="Normal"/>
    <w:link w:val="EndnoteTextChar"/>
    <w:uiPriority w:val="99"/>
    <w:semiHidden/>
    <w:unhideWhenUsed/>
    <w:rsid w:val="00B067F9"/>
    <w:rPr>
      <w:sz w:val="20"/>
      <w:szCs w:val="20"/>
    </w:rPr>
  </w:style>
  <w:style w:type="character" w:customStyle="1" w:styleId="EndnoteTextChar">
    <w:name w:val="Endnote Text Char"/>
    <w:basedOn w:val="DefaultParagraphFont"/>
    <w:link w:val="EndnoteText"/>
    <w:uiPriority w:val="99"/>
    <w:semiHidden/>
    <w:rsid w:val="00B067F9"/>
    <w:rPr>
      <w:rFonts w:ascii="Times New Roman" w:eastAsia="Times New Roman" w:hAnsi="Times New Roman" w:cs="Times New Roman"/>
      <w:kern w:val="0"/>
      <w:sz w:val="20"/>
      <w:szCs w:val="20"/>
      <w:lang w:eastAsia="en-GB"/>
      <w14:ligatures w14:val="none"/>
    </w:rPr>
  </w:style>
  <w:style w:type="character" w:styleId="EndnoteReference">
    <w:name w:val="endnote reference"/>
    <w:basedOn w:val="DefaultParagraphFont"/>
    <w:uiPriority w:val="99"/>
    <w:semiHidden/>
    <w:unhideWhenUsed/>
    <w:rsid w:val="00B067F9"/>
    <w:rPr>
      <w:vertAlign w:val="superscript"/>
    </w:rPr>
  </w:style>
  <w:style w:type="character" w:styleId="PageNumber">
    <w:name w:val="page number"/>
    <w:basedOn w:val="DefaultParagraphFont"/>
    <w:uiPriority w:val="99"/>
    <w:semiHidden/>
    <w:unhideWhenUsed/>
    <w:rsid w:val="00841B61"/>
  </w:style>
  <w:style w:type="paragraph" w:styleId="Revision">
    <w:name w:val="Revision"/>
    <w:hidden/>
    <w:uiPriority w:val="99"/>
    <w:semiHidden/>
    <w:rsid w:val="00A75744"/>
    <w:rPr>
      <w:rFonts w:ascii="Times New Roman" w:eastAsia="Times New Roman" w:hAnsi="Times New Roman" w:cs="Times New Roman"/>
      <w:kern w:val="0"/>
      <w:lang w:eastAsia="en-GB"/>
      <w14:ligatures w14:val="none"/>
    </w:rPr>
  </w:style>
  <w:style w:type="character" w:styleId="CommentReference">
    <w:name w:val="annotation reference"/>
    <w:basedOn w:val="DefaultParagraphFont"/>
    <w:uiPriority w:val="99"/>
    <w:semiHidden/>
    <w:unhideWhenUsed/>
    <w:rsid w:val="00A7583C"/>
    <w:rPr>
      <w:sz w:val="16"/>
      <w:szCs w:val="16"/>
    </w:rPr>
  </w:style>
  <w:style w:type="paragraph" w:styleId="CommentText">
    <w:name w:val="annotation text"/>
    <w:basedOn w:val="Normal"/>
    <w:link w:val="CommentTextChar"/>
    <w:uiPriority w:val="99"/>
    <w:unhideWhenUsed/>
    <w:rsid w:val="00A7583C"/>
    <w:rPr>
      <w:sz w:val="20"/>
      <w:szCs w:val="20"/>
    </w:rPr>
  </w:style>
  <w:style w:type="character" w:customStyle="1" w:styleId="CommentTextChar">
    <w:name w:val="Comment Text Char"/>
    <w:basedOn w:val="DefaultParagraphFont"/>
    <w:link w:val="CommentText"/>
    <w:uiPriority w:val="99"/>
    <w:rsid w:val="00A7583C"/>
    <w:rPr>
      <w:rFonts w:ascii="Times New Roman" w:eastAsia="Times New Roman" w:hAnsi="Times New Roman" w:cs="Times New Roman"/>
      <w:kern w:val="0"/>
      <w:sz w:val="20"/>
      <w:szCs w:val="20"/>
      <w:lang w:eastAsia="en-GB"/>
      <w14:ligatures w14:val="none"/>
    </w:rPr>
  </w:style>
  <w:style w:type="paragraph" w:styleId="CommentSubject">
    <w:name w:val="annotation subject"/>
    <w:basedOn w:val="CommentText"/>
    <w:next w:val="CommentText"/>
    <w:link w:val="CommentSubjectChar"/>
    <w:uiPriority w:val="99"/>
    <w:semiHidden/>
    <w:unhideWhenUsed/>
    <w:rsid w:val="00A7583C"/>
    <w:rPr>
      <w:b/>
      <w:bCs/>
    </w:rPr>
  </w:style>
  <w:style w:type="character" w:customStyle="1" w:styleId="CommentSubjectChar">
    <w:name w:val="Comment Subject Char"/>
    <w:basedOn w:val="CommentTextChar"/>
    <w:link w:val="CommentSubject"/>
    <w:uiPriority w:val="99"/>
    <w:semiHidden/>
    <w:rsid w:val="00A7583C"/>
    <w:rPr>
      <w:rFonts w:ascii="Times New Roman" w:eastAsia="Times New Roman" w:hAnsi="Times New Roman" w:cs="Times New Roman"/>
      <w:b/>
      <w:bCs/>
      <w:kern w:val="0"/>
      <w:sz w:val="20"/>
      <w:szCs w:val="20"/>
      <w:lang w:eastAsia="en-GB"/>
      <w14:ligatures w14:val="none"/>
    </w:rPr>
  </w:style>
  <w:style w:type="character" w:customStyle="1" w:styleId="Heading1Char">
    <w:name w:val="Heading 1 Char"/>
    <w:basedOn w:val="DefaultParagraphFont"/>
    <w:link w:val="Heading1"/>
    <w:uiPriority w:val="9"/>
    <w:rsid w:val="009F5B6E"/>
    <w:rPr>
      <w:rFonts w:asciiTheme="majorHAnsi" w:eastAsiaTheme="majorEastAsia" w:hAnsiTheme="majorHAnsi" w:cstheme="majorBidi"/>
      <w:color w:val="2F5496" w:themeColor="accent1" w:themeShade="BF"/>
      <w:kern w:val="0"/>
      <w:sz w:val="32"/>
      <w:szCs w:val="32"/>
      <w:lang w:eastAsia="en-GB"/>
      <w14:ligatures w14:val="none"/>
    </w:rPr>
  </w:style>
  <w:style w:type="character" w:customStyle="1" w:styleId="Heading2Char">
    <w:name w:val="Heading 2 Char"/>
    <w:basedOn w:val="DefaultParagraphFont"/>
    <w:link w:val="Heading2"/>
    <w:uiPriority w:val="9"/>
    <w:rsid w:val="009F5B6E"/>
    <w:rPr>
      <w:rFonts w:asciiTheme="majorHAnsi" w:eastAsiaTheme="majorEastAsia" w:hAnsiTheme="majorHAnsi" w:cstheme="majorBidi"/>
      <w:color w:val="2F5496" w:themeColor="accent1" w:themeShade="BF"/>
      <w:kern w:val="0"/>
      <w:sz w:val="26"/>
      <w:szCs w:val="26"/>
      <w:lang w:eastAsia="en-GB"/>
      <w14:ligatures w14:val="none"/>
    </w:rPr>
  </w:style>
  <w:style w:type="paragraph" w:styleId="TOCHeading">
    <w:name w:val="TOC Heading"/>
    <w:basedOn w:val="Heading1"/>
    <w:next w:val="Normal"/>
    <w:uiPriority w:val="39"/>
    <w:unhideWhenUsed/>
    <w:qFormat/>
    <w:rsid w:val="009F5B6E"/>
    <w:pPr>
      <w:numPr>
        <w:numId w:val="0"/>
      </w:numPr>
      <w:spacing w:before="480" w:line="276" w:lineRule="auto"/>
      <w:outlineLvl w:val="9"/>
    </w:pPr>
    <w:rPr>
      <w:b/>
      <w:bCs/>
      <w:sz w:val="28"/>
      <w:szCs w:val="28"/>
      <w:lang w:eastAsia="en-US"/>
    </w:rPr>
  </w:style>
  <w:style w:type="paragraph" w:styleId="TOC1">
    <w:name w:val="toc 1"/>
    <w:basedOn w:val="Normal"/>
    <w:next w:val="Normal"/>
    <w:autoRedefine/>
    <w:uiPriority w:val="39"/>
    <w:unhideWhenUsed/>
    <w:rsid w:val="007A755A"/>
    <w:pPr>
      <w:spacing w:before="120"/>
    </w:pPr>
    <w:rPr>
      <w:rFonts w:asciiTheme="minorHAnsi" w:hAnsiTheme="minorHAnsi" w:cstheme="minorHAnsi"/>
      <w:b/>
      <w:bCs/>
      <w:i/>
      <w:iCs/>
    </w:rPr>
  </w:style>
  <w:style w:type="paragraph" w:styleId="TOC3">
    <w:name w:val="toc 3"/>
    <w:basedOn w:val="Normal"/>
    <w:next w:val="Normal"/>
    <w:autoRedefine/>
    <w:uiPriority w:val="39"/>
    <w:unhideWhenUsed/>
    <w:rsid w:val="009F5B6E"/>
    <w:pPr>
      <w:ind w:left="480"/>
    </w:pPr>
    <w:rPr>
      <w:rFonts w:asciiTheme="minorHAnsi" w:hAnsiTheme="minorHAnsi" w:cstheme="minorHAnsi"/>
      <w:sz w:val="20"/>
      <w:szCs w:val="20"/>
    </w:rPr>
  </w:style>
  <w:style w:type="paragraph" w:styleId="TOC2">
    <w:name w:val="toc 2"/>
    <w:basedOn w:val="Normal"/>
    <w:next w:val="Normal"/>
    <w:autoRedefine/>
    <w:uiPriority w:val="39"/>
    <w:unhideWhenUsed/>
    <w:rsid w:val="009F5B6E"/>
    <w:pPr>
      <w:spacing w:before="120"/>
      <w:ind w:left="240"/>
    </w:pPr>
    <w:rPr>
      <w:rFonts w:asciiTheme="minorHAnsi" w:hAnsiTheme="minorHAnsi" w:cstheme="minorHAnsi"/>
      <w:b/>
      <w:bCs/>
      <w:sz w:val="22"/>
      <w:szCs w:val="22"/>
    </w:rPr>
  </w:style>
  <w:style w:type="paragraph" w:styleId="TOC4">
    <w:name w:val="toc 4"/>
    <w:basedOn w:val="Normal"/>
    <w:next w:val="Normal"/>
    <w:autoRedefine/>
    <w:uiPriority w:val="39"/>
    <w:unhideWhenUsed/>
    <w:rsid w:val="009F5B6E"/>
    <w:pPr>
      <w:ind w:left="720"/>
    </w:pPr>
    <w:rPr>
      <w:rFonts w:asciiTheme="minorHAnsi" w:hAnsiTheme="minorHAnsi" w:cstheme="minorHAnsi"/>
      <w:sz w:val="20"/>
      <w:szCs w:val="20"/>
    </w:rPr>
  </w:style>
  <w:style w:type="paragraph" w:styleId="TOC5">
    <w:name w:val="toc 5"/>
    <w:basedOn w:val="Normal"/>
    <w:next w:val="Normal"/>
    <w:autoRedefine/>
    <w:uiPriority w:val="39"/>
    <w:unhideWhenUsed/>
    <w:rsid w:val="009F5B6E"/>
    <w:pPr>
      <w:ind w:left="960"/>
    </w:pPr>
    <w:rPr>
      <w:rFonts w:asciiTheme="minorHAnsi" w:hAnsiTheme="minorHAnsi" w:cstheme="minorHAnsi"/>
      <w:sz w:val="20"/>
      <w:szCs w:val="20"/>
    </w:rPr>
  </w:style>
  <w:style w:type="paragraph" w:styleId="TOC6">
    <w:name w:val="toc 6"/>
    <w:basedOn w:val="Normal"/>
    <w:next w:val="Normal"/>
    <w:autoRedefine/>
    <w:uiPriority w:val="39"/>
    <w:unhideWhenUsed/>
    <w:rsid w:val="009F5B6E"/>
    <w:pPr>
      <w:ind w:left="1200"/>
    </w:pPr>
    <w:rPr>
      <w:rFonts w:asciiTheme="minorHAnsi" w:hAnsiTheme="minorHAnsi" w:cstheme="minorHAnsi"/>
      <w:sz w:val="20"/>
      <w:szCs w:val="20"/>
    </w:rPr>
  </w:style>
  <w:style w:type="paragraph" w:styleId="TOC7">
    <w:name w:val="toc 7"/>
    <w:basedOn w:val="Normal"/>
    <w:next w:val="Normal"/>
    <w:autoRedefine/>
    <w:uiPriority w:val="39"/>
    <w:unhideWhenUsed/>
    <w:rsid w:val="009F5B6E"/>
    <w:pPr>
      <w:ind w:left="1440"/>
    </w:pPr>
    <w:rPr>
      <w:rFonts w:asciiTheme="minorHAnsi" w:hAnsiTheme="minorHAnsi" w:cstheme="minorHAnsi"/>
      <w:sz w:val="20"/>
      <w:szCs w:val="20"/>
    </w:rPr>
  </w:style>
  <w:style w:type="paragraph" w:styleId="TOC8">
    <w:name w:val="toc 8"/>
    <w:basedOn w:val="Normal"/>
    <w:next w:val="Normal"/>
    <w:autoRedefine/>
    <w:uiPriority w:val="39"/>
    <w:unhideWhenUsed/>
    <w:rsid w:val="009F5B6E"/>
    <w:pPr>
      <w:ind w:left="1680"/>
    </w:pPr>
    <w:rPr>
      <w:rFonts w:asciiTheme="minorHAnsi" w:hAnsiTheme="minorHAnsi" w:cstheme="minorHAnsi"/>
      <w:sz w:val="20"/>
      <w:szCs w:val="20"/>
    </w:rPr>
  </w:style>
  <w:style w:type="paragraph" w:styleId="TOC9">
    <w:name w:val="toc 9"/>
    <w:basedOn w:val="Normal"/>
    <w:next w:val="Normal"/>
    <w:autoRedefine/>
    <w:uiPriority w:val="39"/>
    <w:unhideWhenUsed/>
    <w:rsid w:val="009F5B6E"/>
    <w:pPr>
      <w:ind w:left="1920"/>
    </w:pPr>
    <w:rPr>
      <w:rFonts w:asciiTheme="minorHAnsi" w:hAnsiTheme="minorHAnsi" w:cstheme="minorHAnsi"/>
      <w:sz w:val="20"/>
      <w:szCs w:val="20"/>
    </w:rPr>
  </w:style>
  <w:style w:type="character" w:styleId="Hyperlink">
    <w:name w:val="Hyperlink"/>
    <w:basedOn w:val="DefaultParagraphFont"/>
    <w:uiPriority w:val="99"/>
    <w:unhideWhenUsed/>
    <w:rsid w:val="009F5B6E"/>
    <w:rPr>
      <w:color w:val="0563C1" w:themeColor="hyperlink"/>
      <w:u w:val="single"/>
    </w:rPr>
  </w:style>
  <w:style w:type="character" w:styleId="UnresolvedMention">
    <w:name w:val="Unresolved Mention"/>
    <w:basedOn w:val="DefaultParagraphFont"/>
    <w:uiPriority w:val="99"/>
    <w:semiHidden/>
    <w:unhideWhenUsed/>
    <w:rsid w:val="009F5B6E"/>
    <w:rPr>
      <w:color w:val="605E5C"/>
      <w:shd w:val="clear" w:color="auto" w:fill="E1DFDD"/>
    </w:rPr>
  </w:style>
  <w:style w:type="paragraph" w:styleId="Caption">
    <w:name w:val="caption"/>
    <w:basedOn w:val="Normal"/>
    <w:next w:val="Normal"/>
    <w:uiPriority w:val="35"/>
    <w:unhideWhenUsed/>
    <w:qFormat/>
    <w:rsid w:val="004009CA"/>
    <w:pPr>
      <w:spacing w:after="200"/>
    </w:pPr>
    <w:rPr>
      <w:i/>
      <w:iCs/>
      <w:color w:val="44546A" w:themeColor="text2"/>
      <w:sz w:val="18"/>
      <w:szCs w:val="18"/>
    </w:rPr>
  </w:style>
  <w:style w:type="paragraph" w:styleId="TableofFigures">
    <w:name w:val="table of figures"/>
    <w:basedOn w:val="Normal"/>
    <w:next w:val="Normal"/>
    <w:uiPriority w:val="99"/>
    <w:unhideWhenUsed/>
    <w:rsid w:val="00FB0DA0"/>
  </w:style>
  <w:style w:type="paragraph" w:customStyle="1" w:styleId="Title1">
    <w:name w:val="Title1"/>
    <w:basedOn w:val="Normal"/>
    <w:rsid w:val="00062CF6"/>
    <w:pPr>
      <w:spacing w:before="100" w:beforeAutospacing="1" w:after="100" w:afterAutospacing="1"/>
    </w:pPr>
  </w:style>
  <w:style w:type="paragraph" w:customStyle="1" w:styleId="info">
    <w:name w:val="info"/>
    <w:basedOn w:val="Normal"/>
    <w:rsid w:val="00062CF6"/>
    <w:pPr>
      <w:spacing w:before="100" w:beforeAutospacing="1" w:after="100" w:afterAutospacing="1"/>
    </w:pPr>
  </w:style>
  <w:style w:type="character" w:styleId="Strong">
    <w:name w:val="Strong"/>
    <w:basedOn w:val="DefaultParagraphFont"/>
    <w:uiPriority w:val="22"/>
    <w:qFormat/>
    <w:rsid w:val="00470F9D"/>
    <w:rPr>
      <w:b/>
      <w:bCs/>
    </w:rPr>
  </w:style>
  <w:style w:type="character" w:styleId="BookTitle">
    <w:name w:val="Book Title"/>
    <w:basedOn w:val="DefaultParagraphFont"/>
    <w:uiPriority w:val="33"/>
    <w:qFormat/>
    <w:rsid w:val="00470F9D"/>
    <w:rPr>
      <w:b/>
      <w:bCs/>
      <w:i/>
      <w:iCs/>
      <w:spacing w:val="5"/>
    </w:rPr>
  </w:style>
  <w:style w:type="paragraph" w:styleId="IntenseQuote">
    <w:name w:val="Intense Quote"/>
    <w:basedOn w:val="Normal"/>
    <w:next w:val="Normal"/>
    <w:link w:val="IntenseQuoteChar"/>
    <w:uiPriority w:val="30"/>
    <w:qFormat/>
    <w:rsid w:val="00470F9D"/>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IntenseQuoteChar">
    <w:name w:val="Intense Quote Char"/>
    <w:basedOn w:val="DefaultParagraphFont"/>
    <w:link w:val="IntenseQuote"/>
    <w:uiPriority w:val="30"/>
    <w:rsid w:val="00470F9D"/>
    <w:rPr>
      <w:rFonts w:ascii="Times New Roman" w:eastAsia="Times New Roman" w:hAnsi="Times New Roman" w:cs="Times New Roman"/>
      <w:i/>
      <w:iCs/>
      <w:color w:val="4472C4" w:themeColor="accent1"/>
      <w:kern w:val="0"/>
      <w:lang w:eastAsia="en-GB"/>
      <w14:ligatures w14:val="none"/>
    </w:rPr>
  </w:style>
  <w:style w:type="character" w:styleId="IntenseReference">
    <w:name w:val="Intense Reference"/>
    <w:basedOn w:val="DefaultParagraphFont"/>
    <w:uiPriority w:val="32"/>
    <w:qFormat/>
    <w:rsid w:val="00470F9D"/>
    <w:rPr>
      <w:b/>
      <w:bCs/>
      <w:smallCaps/>
      <w:color w:val="4472C4" w:themeColor="accent1"/>
      <w:spacing w:val="5"/>
    </w:rPr>
  </w:style>
  <w:style w:type="paragraph" w:styleId="NormalWeb">
    <w:name w:val="Normal (Web)"/>
    <w:basedOn w:val="Normal"/>
    <w:uiPriority w:val="99"/>
    <w:unhideWhenUsed/>
    <w:rsid w:val="00035776"/>
    <w:pPr>
      <w:spacing w:before="100" w:beforeAutospacing="1" w:after="100" w:afterAutospacing="1"/>
    </w:pPr>
    <w:rPr>
      <w:lang w:eastAsia="en-US"/>
    </w:rPr>
  </w:style>
  <w:style w:type="character" w:customStyle="1" w:styleId="A1">
    <w:name w:val="A1"/>
    <w:uiPriority w:val="99"/>
    <w:rsid w:val="00814086"/>
    <w:rPr>
      <w:rFonts w:cs="Source Sans Pro"/>
      <w:color w:val="5B5B5B"/>
    </w:rPr>
  </w:style>
  <w:style w:type="character" w:styleId="Mention">
    <w:name w:val="Mention"/>
    <w:basedOn w:val="DefaultParagraphFont"/>
    <w:uiPriority w:val="99"/>
    <w:unhideWhenUsed/>
    <w:rsid w:val="00A247F5"/>
    <w:rPr>
      <w:color w:val="2B579A"/>
      <w:shd w:val="clear" w:color="auto" w:fill="E1DFDD"/>
    </w:rPr>
  </w:style>
  <w:style w:type="paragraph" w:styleId="NoSpacing">
    <w:name w:val="No Spacing"/>
    <w:uiPriority w:val="1"/>
    <w:qFormat/>
    <w:rsid w:val="00B97958"/>
    <w:rPr>
      <w:rFonts w:ascii="Times New Roman" w:eastAsia="Times New Roman" w:hAnsi="Times New Roman" w:cs="Times New Roman"/>
      <w:kern w:val="0"/>
      <w:lang w:eastAsia="en-GB"/>
      <w14:ligatures w14:val="none"/>
    </w:rPr>
  </w:style>
  <w:style w:type="character" w:customStyle="1" w:styleId="outlook-search-highlight">
    <w:name w:val="outlook-search-highlight"/>
    <w:basedOn w:val="DefaultParagraphFont"/>
    <w:rsid w:val="00721133"/>
  </w:style>
  <w:style w:type="character" w:customStyle="1" w:styleId="apple-converted-space">
    <w:name w:val="apple-converted-space"/>
    <w:basedOn w:val="DefaultParagraphFont"/>
    <w:rsid w:val="00A04A2E"/>
  </w:style>
  <w:style w:type="table" w:styleId="TableGridLight">
    <w:name w:val="Grid Table Light"/>
    <w:basedOn w:val="TableNormal"/>
    <w:uiPriority w:val="40"/>
    <w:rsid w:val="00F4660B"/>
    <w:rPr>
      <w:sz w:val="22"/>
      <w:szCs w:val="22"/>
      <w:lang w:val="en-GB"/>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ListParagraphChar">
    <w:name w:val="List Paragraph Char"/>
    <w:aliases w:val="Citation List Char,List Paragraph (numbered (a)) Char,references Char,List Paragraph1 Char,List Item Char,LIST OF TABLES. Char,Colorful List - Accent 12 Char,Proposal Heading 1.1 Char,List Paragraph11 Char,lp1 Char,Bullet paras Char"/>
    <w:link w:val="ListParagraph"/>
    <w:qFormat/>
    <w:rsid w:val="00157082"/>
    <w:rPr>
      <w:rFonts w:ascii="Times New Roman" w:eastAsia="Times New Roman" w:hAnsi="Times New Roman" w:cs="Times New Roman"/>
      <w:kern w:val="0"/>
      <w:lang w:eastAsia="en-GB"/>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7395829">
      <w:bodyDiv w:val="1"/>
      <w:marLeft w:val="0"/>
      <w:marRight w:val="0"/>
      <w:marTop w:val="0"/>
      <w:marBottom w:val="0"/>
      <w:divBdr>
        <w:top w:val="none" w:sz="0" w:space="0" w:color="auto"/>
        <w:left w:val="none" w:sz="0" w:space="0" w:color="auto"/>
        <w:bottom w:val="none" w:sz="0" w:space="0" w:color="auto"/>
        <w:right w:val="none" w:sz="0" w:space="0" w:color="auto"/>
      </w:divBdr>
      <w:divsChild>
        <w:div w:id="1737586579">
          <w:marLeft w:val="0"/>
          <w:marRight w:val="0"/>
          <w:marTop w:val="0"/>
          <w:marBottom w:val="0"/>
          <w:divBdr>
            <w:top w:val="none" w:sz="0" w:space="0" w:color="auto"/>
            <w:left w:val="none" w:sz="0" w:space="0" w:color="auto"/>
            <w:bottom w:val="none" w:sz="0" w:space="0" w:color="auto"/>
            <w:right w:val="none" w:sz="0" w:space="0" w:color="auto"/>
          </w:divBdr>
        </w:div>
      </w:divsChild>
    </w:div>
    <w:div w:id="27533360">
      <w:bodyDiv w:val="1"/>
      <w:marLeft w:val="0"/>
      <w:marRight w:val="0"/>
      <w:marTop w:val="0"/>
      <w:marBottom w:val="0"/>
      <w:divBdr>
        <w:top w:val="none" w:sz="0" w:space="0" w:color="auto"/>
        <w:left w:val="none" w:sz="0" w:space="0" w:color="auto"/>
        <w:bottom w:val="none" w:sz="0" w:space="0" w:color="auto"/>
        <w:right w:val="none" w:sz="0" w:space="0" w:color="auto"/>
      </w:divBdr>
      <w:divsChild>
        <w:div w:id="2015912750">
          <w:marLeft w:val="0"/>
          <w:marRight w:val="0"/>
          <w:marTop w:val="0"/>
          <w:marBottom w:val="0"/>
          <w:divBdr>
            <w:top w:val="none" w:sz="0" w:space="0" w:color="auto"/>
            <w:left w:val="none" w:sz="0" w:space="0" w:color="auto"/>
            <w:bottom w:val="none" w:sz="0" w:space="0" w:color="auto"/>
            <w:right w:val="none" w:sz="0" w:space="0" w:color="auto"/>
          </w:divBdr>
          <w:divsChild>
            <w:div w:id="204024451">
              <w:marLeft w:val="0"/>
              <w:marRight w:val="0"/>
              <w:marTop w:val="0"/>
              <w:marBottom w:val="0"/>
              <w:divBdr>
                <w:top w:val="none" w:sz="0" w:space="0" w:color="auto"/>
                <w:left w:val="none" w:sz="0" w:space="0" w:color="auto"/>
                <w:bottom w:val="none" w:sz="0" w:space="0" w:color="auto"/>
                <w:right w:val="none" w:sz="0" w:space="0" w:color="auto"/>
              </w:divBdr>
              <w:divsChild>
                <w:div w:id="1235492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045248">
      <w:bodyDiv w:val="1"/>
      <w:marLeft w:val="0"/>
      <w:marRight w:val="0"/>
      <w:marTop w:val="0"/>
      <w:marBottom w:val="0"/>
      <w:divBdr>
        <w:top w:val="none" w:sz="0" w:space="0" w:color="auto"/>
        <w:left w:val="none" w:sz="0" w:space="0" w:color="auto"/>
        <w:bottom w:val="none" w:sz="0" w:space="0" w:color="auto"/>
        <w:right w:val="none" w:sz="0" w:space="0" w:color="auto"/>
      </w:divBdr>
    </w:div>
    <w:div w:id="76874652">
      <w:bodyDiv w:val="1"/>
      <w:marLeft w:val="0"/>
      <w:marRight w:val="0"/>
      <w:marTop w:val="0"/>
      <w:marBottom w:val="0"/>
      <w:divBdr>
        <w:top w:val="none" w:sz="0" w:space="0" w:color="auto"/>
        <w:left w:val="none" w:sz="0" w:space="0" w:color="auto"/>
        <w:bottom w:val="none" w:sz="0" w:space="0" w:color="auto"/>
        <w:right w:val="none" w:sz="0" w:space="0" w:color="auto"/>
      </w:divBdr>
      <w:divsChild>
        <w:div w:id="179047343">
          <w:marLeft w:val="0"/>
          <w:marRight w:val="0"/>
          <w:marTop w:val="0"/>
          <w:marBottom w:val="0"/>
          <w:divBdr>
            <w:top w:val="none" w:sz="0" w:space="0" w:color="auto"/>
            <w:left w:val="none" w:sz="0" w:space="0" w:color="auto"/>
            <w:bottom w:val="none" w:sz="0" w:space="0" w:color="auto"/>
            <w:right w:val="none" w:sz="0" w:space="0" w:color="auto"/>
          </w:divBdr>
        </w:div>
        <w:div w:id="184371442">
          <w:marLeft w:val="0"/>
          <w:marRight w:val="0"/>
          <w:marTop w:val="0"/>
          <w:marBottom w:val="0"/>
          <w:divBdr>
            <w:top w:val="none" w:sz="0" w:space="0" w:color="auto"/>
            <w:left w:val="none" w:sz="0" w:space="0" w:color="auto"/>
            <w:bottom w:val="none" w:sz="0" w:space="0" w:color="auto"/>
            <w:right w:val="none" w:sz="0" w:space="0" w:color="auto"/>
          </w:divBdr>
        </w:div>
        <w:div w:id="269169044">
          <w:marLeft w:val="0"/>
          <w:marRight w:val="0"/>
          <w:marTop w:val="0"/>
          <w:marBottom w:val="0"/>
          <w:divBdr>
            <w:top w:val="none" w:sz="0" w:space="0" w:color="auto"/>
            <w:left w:val="none" w:sz="0" w:space="0" w:color="auto"/>
            <w:bottom w:val="none" w:sz="0" w:space="0" w:color="auto"/>
            <w:right w:val="none" w:sz="0" w:space="0" w:color="auto"/>
          </w:divBdr>
        </w:div>
        <w:div w:id="466171103">
          <w:marLeft w:val="0"/>
          <w:marRight w:val="0"/>
          <w:marTop w:val="0"/>
          <w:marBottom w:val="0"/>
          <w:divBdr>
            <w:top w:val="none" w:sz="0" w:space="0" w:color="auto"/>
            <w:left w:val="none" w:sz="0" w:space="0" w:color="auto"/>
            <w:bottom w:val="none" w:sz="0" w:space="0" w:color="auto"/>
            <w:right w:val="none" w:sz="0" w:space="0" w:color="auto"/>
          </w:divBdr>
        </w:div>
        <w:div w:id="825051653">
          <w:marLeft w:val="0"/>
          <w:marRight w:val="0"/>
          <w:marTop w:val="0"/>
          <w:marBottom w:val="0"/>
          <w:divBdr>
            <w:top w:val="none" w:sz="0" w:space="0" w:color="auto"/>
            <w:left w:val="none" w:sz="0" w:space="0" w:color="auto"/>
            <w:bottom w:val="none" w:sz="0" w:space="0" w:color="auto"/>
            <w:right w:val="none" w:sz="0" w:space="0" w:color="auto"/>
          </w:divBdr>
        </w:div>
        <w:div w:id="907765501">
          <w:marLeft w:val="0"/>
          <w:marRight w:val="0"/>
          <w:marTop w:val="0"/>
          <w:marBottom w:val="0"/>
          <w:divBdr>
            <w:top w:val="none" w:sz="0" w:space="0" w:color="auto"/>
            <w:left w:val="none" w:sz="0" w:space="0" w:color="auto"/>
            <w:bottom w:val="none" w:sz="0" w:space="0" w:color="auto"/>
            <w:right w:val="none" w:sz="0" w:space="0" w:color="auto"/>
          </w:divBdr>
        </w:div>
        <w:div w:id="919026856">
          <w:marLeft w:val="0"/>
          <w:marRight w:val="0"/>
          <w:marTop w:val="0"/>
          <w:marBottom w:val="0"/>
          <w:divBdr>
            <w:top w:val="none" w:sz="0" w:space="0" w:color="auto"/>
            <w:left w:val="none" w:sz="0" w:space="0" w:color="auto"/>
            <w:bottom w:val="none" w:sz="0" w:space="0" w:color="auto"/>
            <w:right w:val="none" w:sz="0" w:space="0" w:color="auto"/>
          </w:divBdr>
        </w:div>
        <w:div w:id="1086613642">
          <w:marLeft w:val="0"/>
          <w:marRight w:val="0"/>
          <w:marTop w:val="0"/>
          <w:marBottom w:val="0"/>
          <w:divBdr>
            <w:top w:val="none" w:sz="0" w:space="0" w:color="auto"/>
            <w:left w:val="none" w:sz="0" w:space="0" w:color="auto"/>
            <w:bottom w:val="none" w:sz="0" w:space="0" w:color="auto"/>
            <w:right w:val="none" w:sz="0" w:space="0" w:color="auto"/>
          </w:divBdr>
        </w:div>
        <w:div w:id="1087381492">
          <w:marLeft w:val="0"/>
          <w:marRight w:val="0"/>
          <w:marTop w:val="0"/>
          <w:marBottom w:val="0"/>
          <w:divBdr>
            <w:top w:val="none" w:sz="0" w:space="0" w:color="auto"/>
            <w:left w:val="none" w:sz="0" w:space="0" w:color="auto"/>
            <w:bottom w:val="none" w:sz="0" w:space="0" w:color="auto"/>
            <w:right w:val="none" w:sz="0" w:space="0" w:color="auto"/>
          </w:divBdr>
        </w:div>
        <w:div w:id="1179470745">
          <w:marLeft w:val="0"/>
          <w:marRight w:val="0"/>
          <w:marTop w:val="0"/>
          <w:marBottom w:val="0"/>
          <w:divBdr>
            <w:top w:val="none" w:sz="0" w:space="0" w:color="auto"/>
            <w:left w:val="none" w:sz="0" w:space="0" w:color="auto"/>
            <w:bottom w:val="none" w:sz="0" w:space="0" w:color="auto"/>
            <w:right w:val="none" w:sz="0" w:space="0" w:color="auto"/>
          </w:divBdr>
        </w:div>
        <w:div w:id="1674608176">
          <w:marLeft w:val="0"/>
          <w:marRight w:val="0"/>
          <w:marTop w:val="0"/>
          <w:marBottom w:val="0"/>
          <w:divBdr>
            <w:top w:val="none" w:sz="0" w:space="0" w:color="auto"/>
            <w:left w:val="none" w:sz="0" w:space="0" w:color="auto"/>
            <w:bottom w:val="none" w:sz="0" w:space="0" w:color="auto"/>
            <w:right w:val="none" w:sz="0" w:space="0" w:color="auto"/>
          </w:divBdr>
        </w:div>
        <w:div w:id="1696030842">
          <w:marLeft w:val="0"/>
          <w:marRight w:val="0"/>
          <w:marTop w:val="0"/>
          <w:marBottom w:val="0"/>
          <w:divBdr>
            <w:top w:val="none" w:sz="0" w:space="0" w:color="auto"/>
            <w:left w:val="none" w:sz="0" w:space="0" w:color="auto"/>
            <w:bottom w:val="none" w:sz="0" w:space="0" w:color="auto"/>
            <w:right w:val="none" w:sz="0" w:space="0" w:color="auto"/>
          </w:divBdr>
        </w:div>
      </w:divsChild>
    </w:div>
    <w:div w:id="87433001">
      <w:bodyDiv w:val="1"/>
      <w:marLeft w:val="0"/>
      <w:marRight w:val="0"/>
      <w:marTop w:val="0"/>
      <w:marBottom w:val="0"/>
      <w:divBdr>
        <w:top w:val="none" w:sz="0" w:space="0" w:color="auto"/>
        <w:left w:val="none" w:sz="0" w:space="0" w:color="auto"/>
        <w:bottom w:val="none" w:sz="0" w:space="0" w:color="auto"/>
        <w:right w:val="none" w:sz="0" w:space="0" w:color="auto"/>
      </w:divBdr>
    </w:div>
    <w:div w:id="94401122">
      <w:bodyDiv w:val="1"/>
      <w:marLeft w:val="0"/>
      <w:marRight w:val="0"/>
      <w:marTop w:val="0"/>
      <w:marBottom w:val="0"/>
      <w:divBdr>
        <w:top w:val="none" w:sz="0" w:space="0" w:color="auto"/>
        <w:left w:val="none" w:sz="0" w:space="0" w:color="auto"/>
        <w:bottom w:val="none" w:sz="0" w:space="0" w:color="auto"/>
        <w:right w:val="none" w:sz="0" w:space="0" w:color="auto"/>
      </w:divBdr>
      <w:divsChild>
        <w:div w:id="579681450">
          <w:marLeft w:val="0"/>
          <w:marRight w:val="0"/>
          <w:marTop w:val="0"/>
          <w:marBottom w:val="0"/>
          <w:divBdr>
            <w:top w:val="none" w:sz="0" w:space="0" w:color="auto"/>
            <w:left w:val="none" w:sz="0" w:space="0" w:color="auto"/>
            <w:bottom w:val="none" w:sz="0" w:space="0" w:color="auto"/>
            <w:right w:val="none" w:sz="0" w:space="0" w:color="auto"/>
          </w:divBdr>
        </w:div>
        <w:div w:id="677848171">
          <w:marLeft w:val="0"/>
          <w:marRight w:val="0"/>
          <w:marTop w:val="0"/>
          <w:marBottom w:val="0"/>
          <w:divBdr>
            <w:top w:val="none" w:sz="0" w:space="0" w:color="auto"/>
            <w:left w:val="none" w:sz="0" w:space="0" w:color="auto"/>
            <w:bottom w:val="none" w:sz="0" w:space="0" w:color="auto"/>
            <w:right w:val="none" w:sz="0" w:space="0" w:color="auto"/>
          </w:divBdr>
        </w:div>
        <w:div w:id="1821071056">
          <w:marLeft w:val="0"/>
          <w:marRight w:val="0"/>
          <w:marTop w:val="0"/>
          <w:marBottom w:val="0"/>
          <w:divBdr>
            <w:top w:val="none" w:sz="0" w:space="0" w:color="auto"/>
            <w:left w:val="none" w:sz="0" w:space="0" w:color="auto"/>
            <w:bottom w:val="none" w:sz="0" w:space="0" w:color="auto"/>
            <w:right w:val="none" w:sz="0" w:space="0" w:color="auto"/>
          </w:divBdr>
        </w:div>
        <w:div w:id="2110541947">
          <w:marLeft w:val="0"/>
          <w:marRight w:val="0"/>
          <w:marTop w:val="0"/>
          <w:marBottom w:val="0"/>
          <w:divBdr>
            <w:top w:val="none" w:sz="0" w:space="0" w:color="auto"/>
            <w:left w:val="none" w:sz="0" w:space="0" w:color="auto"/>
            <w:bottom w:val="none" w:sz="0" w:space="0" w:color="auto"/>
            <w:right w:val="none" w:sz="0" w:space="0" w:color="auto"/>
          </w:divBdr>
        </w:div>
      </w:divsChild>
    </w:div>
    <w:div w:id="104152514">
      <w:bodyDiv w:val="1"/>
      <w:marLeft w:val="0"/>
      <w:marRight w:val="0"/>
      <w:marTop w:val="0"/>
      <w:marBottom w:val="0"/>
      <w:divBdr>
        <w:top w:val="none" w:sz="0" w:space="0" w:color="auto"/>
        <w:left w:val="none" w:sz="0" w:space="0" w:color="auto"/>
        <w:bottom w:val="none" w:sz="0" w:space="0" w:color="auto"/>
        <w:right w:val="none" w:sz="0" w:space="0" w:color="auto"/>
      </w:divBdr>
      <w:divsChild>
        <w:div w:id="153112863">
          <w:marLeft w:val="0"/>
          <w:marRight w:val="0"/>
          <w:marTop w:val="0"/>
          <w:marBottom w:val="0"/>
          <w:divBdr>
            <w:top w:val="none" w:sz="0" w:space="0" w:color="auto"/>
            <w:left w:val="none" w:sz="0" w:space="0" w:color="auto"/>
            <w:bottom w:val="none" w:sz="0" w:space="0" w:color="auto"/>
            <w:right w:val="none" w:sz="0" w:space="0" w:color="auto"/>
          </w:divBdr>
        </w:div>
        <w:div w:id="637878977">
          <w:marLeft w:val="0"/>
          <w:marRight w:val="0"/>
          <w:marTop w:val="0"/>
          <w:marBottom w:val="0"/>
          <w:divBdr>
            <w:top w:val="none" w:sz="0" w:space="0" w:color="auto"/>
            <w:left w:val="none" w:sz="0" w:space="0" w:color="auto"/>
            <w:bottom w:val="none" w:sz="0" w:space="0" w:color="auto"/>
            <w:right w:val="none" w:sz="0" w:space="0" w:color="auto"/>
          </w:divBdr>
        </w:div>
        <w:div w:id="1682387631">
          <w:marLeft w:val="0"/>
          <w:marRight w:val="0"/>
          <w:marTop w:val="0"/>
          <w:marBottom w:val="0"/>
          <w:divBdr>
            <w:top w:val="none" w:sz="0" w:space="0" w:color="auto"/>
            <w:left w:val="none" w:sz="0" w:space="0" w:color="auto"/>
            <w:bottom w:val="none" w:sz="0" w:space="0" w:color="auto"/>
            <w:right w:val="none" w:sz="0" w:space="0" w:color="auto"/>
          </w:divBdr>
        </w:div>
        <w:div w:id="1970697130">
          <w:marLeft w:val="0"/>
          <w:marRight w:val="0"/>
          <w:marTop w:val="0"/>
          <w:marBottom w:val="0"/>
          <w:divBdr>
            <w:top w:val="none" w:sz="0" w:space="0" w:color="auto"/>
            <w:left w:val="none" w:sz="0" w:space="0" w:color="auto"/>
            <w:bottom w:val="none" w:sz="0" w:space="0" w:color="auto"/>
            <w:right w:val="none" w:sz="0" w:space="0" w:color="auto"/>
          </w:divBdr>
        </w:div>
        <w:div w:id="2000116946">
          <w:marLeft w:val="0"/>
          <w:marRight w:val="0"/>
          <w:marTop w:val="0"/>
          <w:marBottom w:val="0"/>
          <w:divBdr>
            <w:top w:val="none" w:sz="0" w:space="0" w:color="auto"/>
            <w:left w:val="none" w:sz="0" w:space="0" w:color="auto"/>
            <w:bottom w:val="none" w:sz="0" w:space="0" w:color="auto"/>
            <w:right w:val="none" w:sz="0" w:space="0" w:color="auto"/>
          </w:divBdr>
        </w:div>
        <w:div w:id="2080053979">
          <w:marLeft w:val="0"/>
          <w:marRight w:val="0"/>
          <w:marTop w:val="0"/>
          <w:marBottom w:val="0"/>
          <w:divBdr>
            <w:top w:val="none" w:sz="0" w:space="0" w:color="auto"/>
            <w:left w:val="none" w:sz="0" w:space="0" w:color="auto"/>
            <w:bottom w:val="none" w:sz="0" w:space="0" w:color="auto"/>
            <w:right w:val="none" w:sz="0" w:space="0" w:color="auto"/>
          </w:divBdr>
        </w:div>
      </w:divsChild>
    </w:div>
    <w:div w:id="159003027">
      <w:bodyDiv w:val="1"/>
      <w:marLeft w:val="0"/>
      <w:marRight w:val="0"/>
      <w:marTop w:val="0"/>
      <w:marBottom w:val="0"/>
      <w:divBdr>
        <w:top w:val="none" w:sz="0" w:space="0" w:color="auto"/>
        <w:left w:val="none" w:sz="0" w:space="0" w:color="auto"/>
        <w:bottom w:val="none" w:sz="0" w:space="0" w:color="auto"/>
        <w:right w:val="none" w:sz="0" w:space="0" w:color="auto"/>
      </w:divBdr>
      <w:divsChild>
        <w:div w:id="101194989">
          <w:marLeft w:val="274"/>
          <w:marRight w:val="0"/>
          <w:marTop w:val="0"/>
          <w:marBottom w:val="0"/>
          <w:divBdr>
            <w:top w:val="none" w:sz="0" w:space="0" w:color="auto"/>
            <w:left w:val="none" w:sz="0" w:space="0" w:color="auto"/>
            <w:bottom w:val="none" w:sz="0" w:space="0" w:color="auto"/>
            <w:right w:val="none" w:sz="0" w:space="0" w:color="auto"/>
          </w:divBdr>
        </w:div>
        <w:div w:id="283002867">
          <w:marLeft w:val="274"/>
          <w:marRight w:val="0"/>
          <w:marTop w:val="0"/>
          <w:marBottom w:val="0"/>
          <w:divBdr>
            <w:top w:val="none" w:sz="0" w:space="0" w:color="auto"/>
            <w:left w:val="none" w:sz="0" w:space="0" w:color="auto"/>
            <w:bottom w:val="none" w:sz="0" w:space="0" w:color="auto"/>
            <w:right w:val="none" w:sz="0" w:space="0" w:color="auto"/>
          </w:divBdr>
        </w:div>
        <w:div w:id="403721974">
          <w:marLeft w:val="274"/>
          <w:marRight w:val="0"/>
          <w:marTop w:val="0"/>
          <w:marBottom w:val="0"/>
          <w:divBdr>
            <w:top w:val="none" w:sz="0" w:space="0" w:color="auto"/>
            <w:left w:val="none" w:sz="0" w:space="0" w:color="auto"/>
            <w:bottom w:val="none" w:sz="0" w:space="0" w:color="auto"/>
            <w:right w:val="none" w:sz="0" w:space="0" w:color="auto"/>
          </w:divBdr>
        </w:div>
        <w:div w:id="1032264666">
          <w:marLeft w:val="274"/>
          <w:marRight w:val="0"/>
          <w:marTop w:val="0"/>
          <w:marBottom w:val="0"/>
          <w:divBdr>
            <w:top w:val="none" w:sz="0" w:space="0" w:color="auto"/>
            <w:left w:val="none" w:sz="0" w:space="0" w:color="auto"/>
            <w:bottom w:val="none" w:sz="0" w:space="0" w:color="auto"/>
            <w:right w:val="none" w:sz="0" w:space="0" w:color="auto"/>
          </w:divBdr>
        </w:div>
        <w:div w:id="1818572243">
          <w:marLeft w:val="274"/>
          <w:marRight w:val="0"/>
          <w:marTop w:val="0"/>
          <w:marBottom w:val="0"/>
          <w:divBdr>
            <w:top w:val="none" w:sz="0" w:space="0" w:color="auto"/>
            <w:left w:val="none" w:sz="0" w:space="0" w:color="auto"/>
            <w:bottom w:val="none" w:sz="0" w:space="0" w:color="auto"/>
            <w:right w:val="none" w:sz="0" w:space="0" w:color="auto"/>
          </w:divBdr>
        </w:div>
      </w:divsChild>
    </w:div>
    <w:div w:id="160050988">
      <w:bodyDiv w:val="1"/>
      <w:marLeft w:val="0"/>
      <w:marRight w:val="0"/>
      <w:marTop w:val="0"/>
      <w:marBottom w:val="0"/>
      <w:divBdr>
        <w:top w:val="none" w:sz="0" w:space="0" w:color="auto"/>
        <w:left w:val="none" w:sz="0" w:space="0" w:color="auto"/>
        <w:bottom w:val="none" w:sz="0" w:space="0" w:color="auto"/>
        <w:right w:val="none" w:sz="0" w:space="0" w:color="auto"/>
      </w:divBdr>
    </w:div>
    <w:div w:id="205608051">
      <w:bodyDiv w:val="1"/>
      <w:marLeft w:val="0"/>
      <w:marRight w:val="0"/>
      <w:marTop w:val="0"/>
      <w:marBottom w:val="0"/>
      <w:divBdr>
        <w:top w:val="none" w:sz="0" w:space="0" w:color="auto"/>
        <w:left w:val="none" w:sz="0" w:space="0" w:color="auto"/>
        <w:bottom w:val="none" w:sz="0" w:space="0" w:color="auto"/>
        <w:right w:val="none" w:sz="0" w:space="0" w:color="auto"/>
      </w:divBdr>
      <w:divsChild>
        <w:div w:id="736055056">
          <w:marLeft w:val="0"/>
          <w:marRight w:val="0"/>
          <w:marTop w:val="0"/>
          <w:marBottom w:val="0"/>
          <w:divBdr>
            <w:top w:val="none" w:sz="0" w:space="0" w:color="auto"/>
            <w:left w:val="none" w:sz="0" w:space="0" w:color="auto"/>
            <w:bottom w:val="none" w:sz="0" w:space="0" w:color="auto"/>
            <w:right w:val="none" w:sz="0" w:space="0" w:color="auto"/>
          </w:divBdr>
        </w:div>
        <w:div w:id="754010278">
          <w:marLeft w:val="0"/>
          <w:marRight w:val="0"/>
          <w:marTop w:val="0"/>
          <w:marBottom w:val="0"/>
          <w:divBdr>
            <w:top w:val="none" w:sz="0" w:space="0" w:color="auto"/>
            <w:left w:val="none" w:sz="0" w:space="0" w:color="auto"/>
            <w:bottom w:val="none" w:sz="0" w:space="0" w:color="auto"/>
            <w:right w:val="none" w:sz="0" w:space="0" w:color="auto"/>
          </w:divBdr>
        </w:div>
        <w:div w:id="786000515">
          <w:marLeft w:val="0"/>
          <w:marRight w:val="0"/>
          <w:marTop w:val="0"/>
          <w:marBottom w:val="0"/>
          <w:divBdr>
            <w:top w:val="none" w:sz="0" w:space="0" w:color="auto"/>
            <w:left w:val="none" w:sz="0" w:space="0" w:color="auto"/>
            <w:bottom w:val="none" w:sz="0" w:space="0" w:color="auto"/>
            <w:right w:val="none" w:sz="0" w:space="0" w:color="auto"/>
          </w:divBdr>
        </w:div>
        <w:div w:id="1489444142">
          <w:marLeft w:val="0"/>
          <w:marRight w:val="0"/>
          <w:marTop w:val="0"/>
          <w:marBottom w:val="0"/>
          <w:divBdr>
            <w:top w:val="none" w:sz="0" w:space="0" w:color="auto"/>
            <w:left w:val="none" w:sz="0" w:space="0" w:color="auto"/>
            <w:bottom w:val="none" w:sz="0" w:space="0" w:color="auto"/>
            <w:right w:val="none" w:sz="0" w:space="0" w:color="auto"/>
          </w:divBdr>
        </w:div>
      </w:divsChild>
    </w:div>
    <w:div w:id="212691792">
      <w:bodyDiv w:val="1"/>
      <w:marLeft w:val="0"/>
      <w:marRight w:val="0"/>
      <w:marTop w:val="0"/>
      <w:marBottom w:val="0"/>
      <w:divBdr>
        <w:top w:val="none" w:sz="0" w:space="0" w:color="auto"/>
        <w:left w:val="none" w:sz="0" w:space="0" w:color="auto"/>
        <w:bottom w:val="none" w:sz="0" w:space="0" w:color="auto"/>
        <w:right w:val="none" w:sz="0" w:space="0" w:color="auto"/>
      </w:divBdr>
    </w:div>
    <w:div w:id="216405425">
      <w:bodyDiv w:val="1"/>
      <w:marLeft w:val="0"/>
      <w:marRight w:val="0"/>
      <w:marTop w:val="0"/>
      <w:marBottom w:val="0"/>
      <w:divBdr>
        <w:top w:val="none" w:sz="0" w:space="0" w:color="auto"/>
        <w:left w:val="none" w:sz="0" w:space="0" w:color="auto"/>
        <w:bottom w:val="none" w:sz="0" w:space="0" w:color="auto"/>
        <w:right w:val="none" w:sz="0" w:space="0" w:color="auto"/>
      </w:divBdr>
      <w:divsChild>
        <w:div w:id="1097677014">
          <w:marLeft w:val="0"/>
          <w:marRight w:val="0"/>
          <w:marTop w:val="0"/>
          <w:marBottom w:val="0"/>
          <w:divBdr>
            <w:top w:val="none" w:sz="0" w:space="0" w:color="auto"/>
            <w:left w:val="none" w:sz="0" w:space="0" w:color="auto"/>
            <w:bottom w:val="none" w:sz="0" w:space="0" w:color="auto"/>
            <w:right w:val="none" w:sz="0" w:space="0" w:color="auto"/>
          </w:divBdr>
        </w:div>
      </w:divsChild>
    </w:div>
    <w:div w:id="225336944">
      <w:bodyDiv w:val="1"/>
      <w:marLeft w:val="0"/>
      <w:marRight w:val="0"/>
      <w:marTop w:val="0"/>
      <w:marBottom w:val="0"/>
      <w:divBdr>
        <w:top w:val="none" w:sz="0" w:space="0" w:color="auto"/>
        <w:left w:val="none" w:sz="0" w:space="0" w:color="auto"/>
        <w:bottom w:val="none" w:sz="0" w:space="0" w:color="auto"/>
        <w:right w:val="none" w:sz="0" w:space="0" w:color="auto"/>
      </w:divBdr>
      <w:divsChild>
        <w:div w:id="136648228">
          <w:marLeft w:val="0"/>
          <w:marRight w:val="0"/>
          <w:marTop w:val="0"/>
          <w:marBottom w:val="0"/>
          <w:divBdr>
            <w:top w:val="none" w:sz="0" w:space="0" w:color="auto"/>
            <w:left w:val="none" w:sz="0" w:space="0" w:color="auto"/>
            <w:bottom w:val="none" w:sz="0" w:space="0" w:color="auto"/>
            <w:right w:val="none" w:sz="0" w:space="0" w:color="auto"/>
          </w:divBdr>
        </w:div>
        <w:div w:id="638653602">
          <w:marLeft w:val="0"/>
          <w:marRight w:val="0"/>
          <w:marTop w:val="0"/>
          <w:marBottom w:val="0"/>
          <w:divBdr>
            <w:top w:val="none" w:sz="0" w:space="0" w:color="auto"/>
            <w:left w:val="none" w:sz="0" w:space="0" w:color="auto"/>
            <w:bottom w:val="none" w:sz="0" w:space="0" w:color="auto"/>
            <w:right w:val="none" w:sz="0" w:space="0" w:color="auto"/>
          </w:divBdr>
        </w:div>
        <w:div w:id="1971936610">
          <w:marLeft w:val="0"/>
          <w:marRight w:val="0"/>
          <w:marTop w:val="0"/>
          <w:marBottom w:val="0"/>
          <w:divBdr>
            <w:top w:val="none" w:sz="0" w:space="0" w:color="auto"/>
            <w:left w:val="none" w:sz="0" w:space="0" w:color="auto"/>
            <w:bottom w:val="none" w:sz="0" w:space="0" w:color="auto"/>
            <w:right w:val="none" w:sz="0" w:space="0" w:color="auto"/>
          </w:divBdr>
        </w:div>
      </w:divsChild>
    </w:div>
    <w:div w:id="249580874">
      <w:bodyDiv w:val="1"/>
      <w:marLeft w:val="0"/>
      <w:marRight w:val="0"/>
      <w:marTop w:val="0"/>
      <w:marBottom w:val="0"/>
      <w:divBdr>
        <w:top w:val="none" w:sz="0" w:space="0" w:color="auto"/>
        <w:left w:val="none" w:sz="0" w:space="0" w:color="auto"/>
        <w:bottom w:val="none" w:sz="0" w:space="0" w:color="auto"/>
        <w:right w:val="none" w:sz="0" w:space="0" w:color="auto"/>
      </w:divBdr>
    </w:div>
    <w:div w:id="271983348">
      <w:bodyDiv w:val="1"/>
      <w:marLeft w:val="0"/>
      <w:marRight w:val="0"/>
      <w:marTop w:val="0"/>
      <w:marBottom w:val="0"/>
      <w:divBdr>
        <w:top w:val="none" w:sz="0" w:space="0" w:color="auto"/>
        <w:left w:val="none" w:sz="0" w:space="0" w:color="auto"/>
        <w:bottom w:val="none" w:sz="0" w:space="0" w:color="auto"/>
        <w:right w:val="none" w:sz="0" w:space="0" w:color="auto"/>
      </w:divBdr>
      <w:divsChild>
        <w:div w:id="1470187">
          <w:marLeft w:val="0"/>
          <w:marRight w:val="0"/>
          <w:marTop w:val="0"/>
          <w:marBottom w:val="0"/>
          <w:divBdr>
            <w:top w:val="none" w:sz="0" w:space="0" w:color="auto"/>
            <w:left w:val="none" w:sz="0" w:space="0" w:color="auto"/>
            <w:bottom w:val="none" w:sz="0" w:space="0" w:color="auto"/>
            <w:right w:val="none" w:sz="0" w:space="0" w:color="auto"/>
          </w:divBdr>
        </w:div>
        <w:div w:id="51347368">
          <w:marLeft w:val="0"/>
          <w:marRight w:val="0"/>
          <w:marTop w:val="0"/>
          <w:marBottom w:val="0"/>
          <w:divBdr>
            <w:top w:val="none" w:sz="0" w:space="0" w:color="auto"/>
            <w:left w:val="none" w:sz="0" w:space="0" w:color="auto"/>
            <w:bottom w:val="none" w:sz="0" w:space="0" w:color="auto"/>
            <w:right w:val="none" w:sz="0" w:space="0" w:color="auto"/>
          </w:divBdr>
        </w:div>
        <w:div w:id="109127592">
          <w:marLeft w:val="0"/>
          <w:marRight w:val="0"/>
          <w:marTop w:val="0"/>
          <w:marBottom w:val="0"/>
          <w:divBdr>
            <w:top w:val="none" w:sz="0" w:space="0" w:color="auto"/>
            <w:left w:val="none" w:sz="0" w:space="0" w:color="auto"/>
            <w:bottom w:val="none" w:sz="0" w:space="0" w:color="auto"/>
            <w:right w:val="none" w:sz="0" w:space="0" w:color="auto"/>
          </w:divBdr>
        </w:div>
        <w:div w:id="125853979">
          <w:marLeft w:val="0"/>
          <w:marRight w:val="0"/>
          <w:marTop w:val="0"/>
          <w:marBottom w:val="0"/>
          <w:divBdr>
            <w:top w:val="none" w:sz="0" w:space="0" w:color="auto"/>
            <w:left w:val="none" w:sz="0" w:space="0" w:color="auto"/>
            <w:bottom w:val="none" w:sz="0" w:space="0" w:color="auto"/>
            <w:right w:val="none" w:sz="0" w:space="0" w:color="auto"/>
          </w:divBdr>
        </w:div>
        <w:div w:id="127358443">
          <w:marLeft w:val="0"/>
          <w:marRight w:val="0"/>
          <w:marTop w:val="0"/>
          <w:marBottom w:val="0"/>
          <w:divBdr>
            <w:top w:val="none" w:sz="0" w:space="0" w:color="auto"/>
            <w:left w:val="none" w:sz="0" w:space="0" w:color="auto"/>
            <w:bottom w:val="none" w:sz="0" w:space="0" w:color="auto"/>
            <w:right w:val="none" w:sz="0" w:space="0" w:color="auto"/>
          </w:divBdr>
        </w:div>
        <w:div w:id="133766667">
          <w:marLeft w:val="0"/>
          <w:marRight w:val="0"/>
          <w:marTop w:val="0"/>
          <w:marBottom w:val="0"/>
          <w:divBdr>
            <w:top w:val="none" w:sz="0" w:space="0" w:color="auto"/>
            <w:left w:val="none" w:sz="0" w:space="0" w:color="auto"/>
            <w:bottom w:val="none" w:sz="0" w:space="0" w:color="auto"/>
            <w:right w:val="none" w:sz="0" w:space="0" w:color="auto"/>
          </w:divBdr>
        </w:div>
        <w:div w:id="135805971">
          <w:marLeft w:val="0"/>
          <w:marRight w:val="0"/>
          <w:marTop w:val="0"/>
          <w:marBottom w:val="0"/>
          <w:divBdr>
            <w:top w:val="none" w:sz="0" w:space="0" w:color="auto"/>
            <w:left w:val="none" w:sz="0" w:space="0" w:color="auto"/>
            <w:bottom w:val="none" w:sz="0" w:space="0" w:color="auto"/>
            <w:right w:val="none" w:sz="0" w:space="0" w:color="auto"/>
          </w:divBdr>
        </w:div>
        <w:div w:id="189148063">
          <w:marLeft w:val="0"/>
          <w:marRight w:val="0"/>
          <w:marTop w:val="0"/>
          <w:marBottom w:val="0"/>
          <w:divBdr>
            <w:top w:val="none" w:sz="0" w:space="0" w:color="auto"/>
            <w:left w:val="none" w:sz="0" w:space="0" w:color="auto"/>
            <w:bottom w:val="none" w:sz="0" w:space="0" w:color="auto"/>
            <w:right w:val="none" w:sz="0" w:space="0" w:color="auto"/>
          </w:divBdr>
        </w:div>
        <w:div w:id="219220434">
          <w:marLeft w:val="0"/>
          <w:marRight w:val="0"/>
          <w:marTop w:val="0"/>
          <w:marBottom w:val="0"/>
          <w:divBdr>
            <w:top w:val="none" w:sz="0" w:space="0" w:color="auto"/>
            <w:left w:val="none" w:sz="0" w:space="0" w:color="auto"/>
            <w:bottom w:val="none" w:sz="0" w:space="0" w:color="auto"/>
            <w:right w:val="none" w:sz="0" w:space="0" w:color="auto"/>
          </w:divBdr>
        </w:div>
        <w:div w:id="283924824">
          <w:marLeft w:val="0"/>
          <w:marRight w:val="0"/>
          <w:marTop w:val="0"/>
          <w:marBottom w:val="0"/>
          <w:divBdr>
            <w:top w:val="none" w:sz="0" w:space="0" w:color="auto"/>
            <w:left w:val="none" w:sz="0" w:space="0" w:color="auto"/>
            <w:bottom w:val="none" w:sz="0" w:space="0" w:color="auto"/>
            <w:right w:val="none" w:sz="0" w:space="0" w:color="auto"/>
          </w:divBdr>
        </w:div>
        <w:div w:id="325213223">
          <w:marLeft w:val="0"/>
          <w:marRight w:val="0"/>
          <w:marTop w:val="0"/>
          <w:marBottom w:val="0"/>
          <w:divBdr>
            <w:top w:val="none" w:sz="0" w:space="0" w:color="auto"/>
            <w:left w:val="none" w:sz="0" w:space="0" w:color="auto"/>
            <w:bottom w:val="none" w:sz="0" w:space="0" w:color="auto"/>
            <w:right w:val="none" w:sz="0" w:space="0" w:color="auto"/>
          </w:divBdr>
        </w:div>
        <w:div w:id="365257164">
          <w:marLeft w:val="0"/>
          <w:marRight w:val="0"/>
          <w:marTop w:val="0"/>
          <w:marBottom w:val="0"/>
          <w:divBdr>
            <w:top w:val="none" w:sz="0" w:space="0" w:color="auto"/>
            <w:left w:val="none" w:sz="0" w:space="0" w:color="auto"/>
            <w:bottom w:val="none" w:sz="0" w:space="0" w:color="auto"/>
            <w:right w:val="none" w:sz="0" w:space="0" w:color="auto"/>
          </w:divBdr>
        </w:div>
        <w:div w:id="440341394">
          <w:marLeft w:val="0"/>
          <w:marRight w:val="0"/>
          <w:marTop w:val="0"/>
          <w:marBottom w:val="0"/>
          <w:divBdr>
            <w:top w:val="none" w:sz="0" w:space="0" w:color="auto"/>
            <w:left w:val="none" w:sz="0" w:space="0" w:color="auto"/>
            <w:bottom w:val="none" w:sz="0" w:space="0" w:color="auto"/>
            <w:right w:val="none" w:sz="0" w:space="0" w:color="auto"/>
          </w:divBdr>
        </w:div>
        <w:div w:id="513542726">
          <w:marLeft w:val="0"/>
          <w:marRight w:val="0"/>
          <w:marTop w:val="0"/>
          <w:marBottom w:val="0"/>
          <w:divBdr>
            <w:top w:val="none" w:sz="0" w:space="0" w:color="auto"/>
            <w:left w:val="none" w:sz="0" w:space="0" w:color="auto"/>
            <w:bottom w:val="none" w:sz="0" w:space="0" w:color="auto"/>
            <w:right w:val="none" w:sz="0" w:space="0" w:color="auto"/>
          </w:divBdr>
        </w:div>
        <w:div w:id="598952530">
          <w:marLeft w:val="0"/>
          <w:marRight w:val="0"/>
          <w:marTop w:val="0"/>
          <w:marBottom w:val="0"/>
          <w:divBdr>
            <w:top w:val="none" w:sz="0" w:space="0" w:color="auto"/>
            <w:left w:val="none" w:sz="0" w:space="0" w:color="auto"/>
            <w:bottom w:val="none" w:sz="0" w:space="0" w:color="auto"/>
            <w:right w:val="none" w:sz="0" w:space="0" w:color="auto"/>
          </w:divBdr>
        </w:div>
        <w:div w:id="618269447">
          <w:marLeft w:val="0"/>
          <w:marRight w:val="0"/>
          <w:marTop w:val="0"/>
          <w:marBottom w:val="0"/>
          <w:divBdr>
            <w:top w:val="none" w:sz="0" w:space="0" w:color="auto"/>
            <w:left w:val="none" w:sz="0" w:space="0" w:color="auto"/>
            <w:bottom w:val="none" w:sz="0" w:space="0" w:color="auto"/>
            <w:right w:val="none" w:sz="0" w:space="0" w:color="auto"/>
          </w:divBdr>
        </w:div>
        <w:div w:id="675350994">
          <w:marLeft w:val="0"/>
          <w:marRight w:val="0"/>
          <w:marTop w:val="0"/>
          <w:marBottom w:val="0"/>
          <w:divBdr>
            <w:top w:val="none" w:sz="0" w:space="0" w:color="auto"/>
            <w:left w:val="none" w:sz="0" w:space="0" w:color="auto"/>
            <w:bottom w:val="none" w:sz="0" w:space="0" w:color="auto"/>
            <w:right w:val="none" w:sz="0" w:space="0" w:color="auto"/>
          </w:divBdr>
        </w:div>
        <w:div w:id="817961172">
          <w:marLeft w:val="0"/>
          <w:marRight w:val="0"/>
          <w:marTop w:val="0"/>
          <w:marBottom w:val="0"/>
          <w:divBdr>
            <w:top w:val="none" w:sz="0" w:space="0" w:color="auto"/>
            <w:left w:val="none" w:sz="0" w:space="0" w:color="auto"/>
            <w:bottom w:val="none" w:sz="0" w:space="0" w:color="auto"/>
            <w:right w:val="none" w:sz="0" w:space="0" w:color="auto"/>
          </w:divBdr>
        </w:div>
        <w:div w:id="821198279">
          <w:marLeft w:val="0"/>
          <w:marRight w:val="0"/>
          <w:marTop w:val="0"/>
          <w:marBottom w:val="0"/>
          <w:divBdr>
            <w:top w:val="none" w:sz="0" w:space="0" w:color="auto"/>
            <w:left w:val="none" w:sz="0" w:space="0" w:color="auto"/>
            <w:bottom w:val="none" w:sz="0" w:space="0" w:color="auto"/>
            <w:right w:val="none" w:sz="0" w:space="0" w:color="auto"/>
          </w:divBdr>
        </w:div>
        <w:div w:id="899247145">
          <w:marLeft w:val="0"/>
          <w:marRight w:val="0"/>
          <w:marTop w:val="0"/>
          <w:marBottom w:val="0"/>
          <w:divBdr>
            <w:top w:val="none" w:sz="0" w:space="0" w:color="auto"/>
            <w:left w:val="none" w:sz="0" w:space="0" w:color="auto"/>
            <w:bottom w:val="none" w:sz="0" w:space="0" w:color="auto"/>
            <w:right w:val="none" w:sz="0" w:space="0" w:color="auto"/>
          </w:divBdr>
        </w:div>
        <w:div w:id="1006711328">
          <w:marLeft w:val="0"/>
          <w:marRight w:val="0"/>
          <w:marTop w:val="0"/>
          <w:marBottom w:val="0"/>
          <w:divBdr>
            <w:top w:val="none" w:sz="0" w:space="0" w:color="auto"/>
            <w:left w:val="none" w:sz="0" w:space="0" w:color="auto"/>
            <w:bottom w:val="none" w:sz="0" w:space="0" w:color="auto"/>
            <w:right w:val="none" w:sz="0" w:space="0" w:color="auto"/>
          </w:divBdr>
        </w:div>
        <w:div w:id="1020818208">
          <w:marLeft w:val="0"/>
          <w:marRight w:val="0"/>
          <w:marTop w:val="0"/>
          <w:marBottom w:val="0"/>
          <w:divBdr>
            <w:top w:val="none" w:sz="0" w:space="0" w:color="auto"/>
            <w:left w:val="none" w:sz="0" w:space="0" w:color="auto"/>
            <w:bottom w:val="none" w:sz="0" w:space="0" w:color="auto"/>
            <w:right w:val="none" w:sz="0" w:space="0" w:color="auto"/>
          </w:divBdr>
        </w:div>
        <w:div w:id="1042637377">
          <w:marLeft w:val="0"/>
          <w:marRight w:val="0"/>
          <w:marTop w:val="0"/>
          <w:marBottom w:val="0"/>
          <w:divBdr>
            <w:top w:val="none" w:sz="0" w:space="0" w:color="auto"/>
            <w:left w:val="none" w:sz="0" w:space="0" w:color="auto"/>
            <w:bottom w:val="none" w:sz="0" w:space="0" w:color="auto"/>
            <w:right w:val="none" w:sz="0" w:space="0" w:color="auto"/>
          </w:divBdr>
        </w:div>
        <w:div w:id="1068727531">
          <w:marLeft w:val="0"/>
          <w:marRight w:val="0"/>
          <w:marTop w:val="0"/>
          <w:marBottom w:val="0"/>
          <w:divBdr>
            <w:top w:val="none" w:sz="0" w:space="0" w:color="auto"/>
            <w:left w:val="none" w:sz="0" w:space="0" w:color="auto"/>
            <w:bottom w:val="none" w:sz="0" w:space="0" w:color="auto"/>
            <w:right w:val="none" w:sz="0" w:space="0" w:color="auto"/>
          </w:divBdr>
        </w:div>
        <w:div w:id="1168012673">
          <w:marLeft w:val="0"/>
          <w:marRight w:val="0"/>
          <w:marTop w:val="0"/>
          <w:marBottom w:val="0"/>
          <w:divBdr>
            <w:top w:val="none" w:sz="0" w:space="0" w:color="auto"/>
            <w:left w:val="none" w:sz="0" w:space="0" w:color="auto"/>
            <w:bottom w:val="none" w:sz="0" w:space="0" w:color="auto"/>
            <w:right w:val="none" w:sz="0" w:space="0" w:color="auto"/>
          </w:divBdr>
        </w:div>
        <w:div w:id="1173640287">
          <w:marLeft w:val="0"/>
          <w:marRight w:val="0"/>
          <w:marTop w:val="0"/>
          <w:marBottom w:val="0"/>
          <w:divBdr>
            <w:top w:val="none" w:sz="0" w:space="0" w:color="auto"/>
            <w:left w:val="none" w:sz="0" w:space="0" w:color="auto"/>
            <w:bottom w:val="none" w:sz="0" w:space="0" w:color="auto"/>
            <w:right w:val="none" w:sz="0" w:space="0" w:color="auto"/>
          </w:divBdr>
        </w:div>
        <w:div w:id="1186746434">
          <w:marLeft w:val="0"/>
          <w:marRight w:val="0"/>
          <w:marTop w:val="0"/>
          <w:marBottom w:val="0"/>
          <w:divBdr>
            <w:top w:val="none" w:sz="0" w:space="0" w:color="auto"/>
            <w:left w:val="none" w:sz="0" w:space="0" w:color="auto"/>
            <w:bottom w:val="none" w:sz="0" w:space="0" w:color="auto"/>
            <w:right w:val="none" w:sz="0" w:space="0" w:color="auto"/>
          </w:divBdr>
        </w:div>
        <w:div w:id="1187643968">
          <w:marLeft w:val="0"/>
          <w:marRight w:val="0"/>
          <w:marTop w:val="0"/>
          <w:marBottom w:val="0"/>
          <w:divBdr>
            <w:top w:val="none" w:sz="0" w:space="0" w:color="auto"/>
            <w:left w:val="none" w:sz="0" w:space="0" w:color="auto"/>
            <w:bottom w:val="none" w:sz="0" w:space="0" w:color="auto"/>
            <w:right w:val="none" w:sz="0" w:space="0" w:color="auto"/>
          </w:divBdr>
        </w:div>
        <w:div w:id="1264190390">
          <w:marLeft w:val="0"/>
          <w:marRight w:val="0"/>
          <w:marTop w:val="0"/>
          <w:marBottom w:val="0"/>
          <w:divBdr>
            <w:top w:val="none" w:sz="0" w:space="0" w:color="auto"/>
            <w:left w:val="none" w:sz="0" w:space="0" w:color="auto"/>
            <w:bottom w:val="none" w:sz="0" w:space="0" w:color="auto"/>
            <w:right w:val="none" w:sz="0" w:space="0" w:color="auto"/>
          </w:divBdr>
        </w:div>
        <w:div w:id="1299723323">
          <w:marLeft w:val="0"/>
          <w:marRight w:val="0"/>
          <w:marTop w:val="0"/>
          <w:marBottom w:val="0"/>
          <w:divBdr>
            <w:top w:val="none" w:sz="0" w:space="0" w:color="auto"/>
            <w:left w:val="none" w:sz="0" w:space="0" w:color="auto"/>
            <w:bottom w:val="none" w:sz="0" w:space="0" w:color="auto"/>
            <w:right w:val="none" w:sz="0" w:space="0" w:color="auto"/>
          </w:divBdr>
        </w:div>
        <w:div w:id="1314749918">
          <w:marLeft w:val="0"/>
          <w:marRight w:val="0"/>
          <w:marTop w:val="0"/>
          <w:marBottom w:val="0"/>
          <w:divBdr>
            <w:top w:val="none" w:sz="0" w:space="0" w:color="auto"/>
            <w:left w:val="none" w:sz="0" w:space="0" w:color="auto"/>
            <w:bottom w:val="none" w:sz="0" w:space="0" w:color="auto"/>
            <w:right w:val="none" w:sz="0" w:space="0" w:color="auto"/>
          </w:divBdr>
        </w:div>
        <w:div w:id="1359118132">
          <w:marLeft w:val="0"/>
          <w:marRight w:val="0"/>
          <w:marTop w:val="0"/>
          <w:marBottom w:val="0"/>
          <w:divBdr>
            <w:top w:val="none" w:sz="0" w:space="0" w:color="auto"/>
            <w:left w:val="none" w:sz="0" w:space="0" w:color="auto"/>
            <w:bottom w:val="none" w:sz="0" w:space="0" w:color="auto"/>
            <w:right w:val="none" w:sz="0" w:space="0" w:color="auto"/>
          </w:divBdr>
        </w:div>
        <w:div w:id="1430347606">
          <w:marLeft w:val="0"/>
          <w:marRight w:val="0"/>
          <w:marTop w:val="0"/>
          <w:marBottom w:val="0"/>
          <w:divBdr>
            <w:top w:val="none" w:sz="0" w:space="0" w:color="auto"/>
            <w:left w:val="none" w:sz="0" w:space="0" w:color="auto"/>
            <w:bottom w:val="none" w:sz="0" w:space="0" w:color="auto"/>
            <w:right w:val="none" w:sz="0" w:space="0" w:color="auto"/>
          </w:divBdr>
        </w:div>
        <w:div w:id="1459102933">
          <w:marLeft w:val="0"/>
          <w:marRight w:val="0"/>
          <w:marTop w:val="0"/>
          <w:marBottom w:val="0"/>
          <w:divBdr>
            <w:top w:val="none" w:sz="0" w:space="0" w:color="auto"/>
            <w:left w:val="none" w:sz="0" w:space="0" w:color="auto"/>
            <w:bottom w:val="none" w:sz="0" w:space="0" w:color="auto"/>
            <w:right w:val="none" w:sz="0" w:space="0" w:color="auto"/>
          </w:divBdr>
        </w:div>
        <w:div w:id="1462966543">
          <w:marLeft w:val="0"/>
          <w:marRight w:val="0"/>
          <w:marTop w:val="0"/>
          <w:marBottom w:val="0"/>
          <w:divBdr>
            <w:top w:val="none" w:sz="0" w:space="0" w:color="auto"/>
            <w:left w:val="none" w:sz="0" w:space="0" w:color="auto"/>
            <w:bottom w:val="none" w:sz="0" w:space="0" w:color="auto"/>
            <w:right w:val="none" w:sz="0" w:space="0" w:color="auto"/>
          </w:divBdr>
        </w:div>
        <w:div w:id="1469397807">
          <w:marLeft w:val="0"/>
          <w:marRight w:val="0"/>
          <w:marTop w:val="0"/>
          <w:marBottom w:val="0"/>
          <w:divBdr>
            <w:top w:val="none" w:sz="0" w:space="0" w:color="auto"/>
            <w:left w:val="none" w:sz="0" w:space="0" w:color="auto"/>
            <w:bottom w:val="none" w:sz="0" w:space="0" w:color="auto"/>
            <w:right w:val="none" w:sz="0" w:space="0" w:color="auto"/>
          </w:divBdr>
        </w:div>
        <w:div w:id="1514566346">
          <w:marLeft w:val="0"/>
          <w:marRight w:val="0"/>
          <w:marTop w:val="0"/>
          <w:marBottom w:val="0"/>
          <w:divBdr>
            <w:top w:val="none" w:sz="0" w:space="0" w:color="auto"/>
            <w:left w:val="none" w:sz="0" w:space="0" w:color="auto"/>
            <w:bottom w:val="none" w:sz="0" w:space="0" w:color="auto"/>
            <w:right w:val="none" w:sz="0" w:space="0" w:color="auto"/>
          </w:divBdr>
        </w:div>
        <w:div w:id="1553927265">
          <w:marLeft w:val="0"/>
          <w:marRight w:val="0"/>
          <w:marTop w:val="0"/>
          <w:marBottom w:val="0"/>
          <w:divBdr>
            <w:top w:val="none" w:sz="0" w:space="0" w:color="auto"/>
            <w:left w:val="none" w:sz="0" w:space="0" w:color="auto"/>
            <w:bottom w:val="none" w:sz="0" w:space="0" w:color="auto"/>
            <w:right w:val="none" w:sz="0" w:space="0" w:color="auto"/>
          </w:divBdr>
        </w:div>
        <w:div w:id="1592471064">
          <w:marLeft w:val="0"/>
          <w:marRight w:val="0"/>
          <w:marTop w:val="0"/>
          <w:marBottom w:val="0"/>
          <w:divBdr>
            <w:top w:val="none" w:sz="0" w:space="0" w:color="auto"/>
            <w:left w:val="none" w:sz="0" w:space="0" w:color="auto"/>
            <w:bottom w:val="none" w:sz="0" w:space="0" w:color="auto"/>
            <w:right w:val="none" w:sz="0" w:space="0" w:color="auto"/>
          </w:divBdr>
        </w:div>
        <w:div w:id="1596011853">
          <w:marLeft w:val="0"/>
          <w:marRight w:val="0"/>
          <w:marTop w:val="0"/>
          <w:marBottom w:val="0"/>
          <w:divBdr>
            <w:top w:val="none" w:sz="0" w:space="0" w:color="auto"/>
            <w:left w:val="none" w:sz="0" w:space="0" w:color="auto"/>
            <w:bottom w:val="none" w:sz="0" w:space="0" w:color="auto"/>
            <w:right w:val="none" w:sz="0" w:space="0" w:color="auto"/>
          </w:divBdr>
        </w:div>
        <w:div w:id="1622223713">
          <w:marLeft w:val="0"/>
          <w:marRight w:val="0"/>
          <w:marTop w:val="0"/>
          <w:marBottom w:val="0"/>
          <w:divBdr>
            <w:top w:val="none" w:sz="0" w:space="0" w:color="auto"/>
            <w:left w:val="none" w:sz="0" w:space="0" w:color="auto"/>
            <w:bottom w:val="none" w:sz="0" w:space="0" w:color="auto"/>
            <w:right w:val="none" w:sz="0" w:space="0" w:color="auto"/>
          </w:divBdr>
        </w:div>
        <w:div w:id="1635483187">
          <w:marLeft w:val="0"/>
          <w:marRight w:val="0"/>
          <w:marTop w:val="0"/>
          <w:marBottom w:val="0"/>
          <w:divBdr>
            <w:top w:val="none" w:sz="0" w:space="0" w:color="auto"/>
            <w:left w:val="none" w:sz="0" w:space="0" w:color="auto"/>
            <w:bottom w:val="none" w:sz="0" w:space="0" w:color="auto"/>
            <w:right w:val="none" w:sz="0" w:space="0" w:color="auto"/>
          </w:divBdr>
        </w:div>
        <w:div w:id="1644891101">
          <w:marLeft w:val="0"/>
          <w:marRight w:val="0"/>
          <w:marTop w:val="0"/>
          <w:marBottom w:val="0"/>
          <w:divBdr>
            <w:top w:val="none" w:sz="0" w:space="0" w:color="auto"/>
            <w:left w:val="none" w:sz="0" w:space="0" w:color="auto"/>
            <w:bottom w:val="none" w:sz="0" w:space="0" w:color="auto"/>
            <w:right w:val="none" w:sz="0" w:space="0" w:color="auto"/>
          </w:divBdr>
        </w:div>
        <w:div w:id="1718243305">
          <w:marLeft w:val="0"/>
          <w:marRight w:val="0"/>
          <w:marTop w:val="0"/>
          <w:marBottom w:val="0"/>
          <w:divBdr>
            <w:top w:val="none" w:sz="0" w:space="0" w:color="auto"/>
            <w:left w:val="none" w:sz="0" w:space="0" w:color="auto"/>
            <w:bottom w:val="none" w:sz="0" w:space="0" w:color="auto"/>
            <w:right w:val="none" w:sz="0" w:space="0" w:color="auto"/>
          </w:divBdr>
        </w:div>
        <w:div w:id="1745685603">
          <w:marLeft w:val="0"/>
          <w:marRight w:val="0"/>
          <w:marTop w:val="0"/>
          <w:marBottom w:val="0"/>
          <w:divBdr>
            <w:top w:val="none" w:sz="0" w:space="0" w:color="auto"/>
            <w:left w:val="none" w:sz="0" w:space="0" w:color="auto"/>
            <w:bottom w:val="none" w:sz="0" w:space="0" w:color="auto"/>
            <w:right w:val="none" w:sz="0" w:space="0" w:color="auto"/>
          </w:divBdr>
        </w:div>
        <w:div w:id="1767538383">
          <w:marLeft w:val="0"/>
          <w:marRight w:val="0"/>
          <w:marTop w:val="0"/>
          <w:marBottom w:val="0"/>
          <w:divBdr>
            <w:top w:val="none" w:sz="0" w:space="0" w:color="auto"/>
            <w:left w:val="none" w:sz="0" w:space="0" w:color="auto"/>
            <w:bottom w:val="none" w:sz="0" w:space="0" w:color="auto"/>
            <w:right w:val="none" w:sz="0" w:space="0" w:color="auto"/>
          </w:divBdr>
        </w:div>
        <w:div w:id="1769695409">
          <w:marLeft w:val="0"/>
          <w:marRight w:val="0"/>
          <w:marTop w:val="0"/>
          <w:marBottom w:val="0"/>
          <w:divBdr>
            <w:top w:val="none" w:sz="0" w:space="0" w:color="auto"/>
            <w:left w:val="none" w:sz="0" w:space="0" w:color="auto"/>
            <w:bottom w:val="none" w:sz="0" w:space="0" w:color="auto"/>
            <w:right w:val="none" w:sz="0" w:space="0" w:color="auto"/>
          </w:divBdr>
        </w:div>
        <w:div w:id="1853639785">
          <w:marLeft w:val="0"/>
          <w:marRight w:val="0"/>
          <w:marTop w:val="0"/>
          <w:marBottom w:val="0"/>
          <w:divBdr>
            <w:top w:val="none" w:sz="0" w:space="0" w:color="auto"/>
            <w:left w:val="none" w:sz="0" w:space="0" w:color="auto"/>
            <w:bottom w:val="none" w:sz="0" w:space="0" w:color="auto"/>
            <w:right w:val="none" w:sz="0" w:space="0" w:color="auto"/>
          </w:divBdr>
        </w:div>
        <w:div w:id="1854487728">
          <w:marLeft w:val="0"/>
          <w:marRight w:val="0"/>
          <w:marTop w:val="0"/>
          <w:marBottom w:val="0"/>
          <w:divBdr>
            <w:top w:val="none" w:sz="0" w:space="0" w:color="auto"/>
            <w:left w:val="none" w:sz="0" w:space="0" w:color="auto"/>
            <w:bottom w:val="none" w:sz="0" w:space="0" w:color="auto"/>
            <w:right w:val="none" w:sz="0" w:space="0" w:color="auto"/>
          </w:divBdr>
        </w:div>
        <w:div w:id="1893150748">
          <w:marLeft w:val="0"/>
          <w:marRight w:val="0"/>
          <w:marTop w:val="0"/>
          <w:marBottom w:val="0"/>
          <w:divBdr>
            <w:top w:val="none" w:sz="0" w:space="0" w:color="auto"/>
            <w:left w:val="none" w:sz="0" w:space="0" w:color="auto"/>
            <w:bottom w:val="none" w:sz="0" w:space="0" w:color="auto"/>
            <w:right w:val="none" w:sz="0" w:space="0" w:color="auto"/>
          </w:divBdr>
        </w:div>
        <w:div w:id="1905944336">
          <w:marLeft w:val="0"/>
          <w:marRight w:val="0"/>
          <w:marTop w:val="0"/>
          <w:marBottom w:val="0"/>
          <w:divBdr>
            <w:top w:val="none" w:sz="0" w:space="0" w:color="auto"/>
            <w:left w:val="none" w:sz="0" w:space="0" w:color="auto"/>
            <w:bottom w:val="none" w:sz="0" w:space="0" w:color="auto"/>
            <w:right w:val="none" w:sz="0" w:space="0" w:color="auto"/>
          </w:divBdr>
        </w:div>
        <w:div w:id="2039698059">
          <w:marLeft w:val="0"/>
          <w:marRight w:val="0"/>
          <w:marTop w:val="0"/>
          <w:marBottom w:val="0"/>
          <w:divBdr>
            <w:top w:val="none" w:sz="0" w:space="0" w:color="auto"/>
            <w:left w:val="none" w:sz="0" w:space="0" w:color="auto"/>
            <w:bottom w:val="none" w:sz="0" w:space="0" w:color="auto"/>
            <w:right w:val="none" w:sz="0" w:space="0" w:color="auto"/>
          </w:divBdr>
        </w:div>
        <w:div w:id="2055032348">
          <w:marLeft w:val="0"/>
          <w:marRight w:val="0"/>
          <w:marTop w:val="0"/>
          <w:marBottom w:val="0"/>
          <w:divBdr>
            <w:top w:val="none" w:sz="0" w:space="0" w:color="auto"/>
            <w:left w:val="none" w:sz="0" w:space="0" w:color="auto"/>
            <w:bottom w:val="none" w:sz="0" w:space="0" w:color="auto"/>
            <w:right w:val="none" w:sz="0" w:space="0" w:color="auto"/>
          </w:divBdr>
        </w:div>
        <w:div w:id="2146316454">
          <w:marLeft w:val="0"/>
          <w:marRight w:val="0"/>
          <w:marTop w:val="0"/>
          <w:marBottom w:val="0"/>
          <w:divBdr>
            <w:top w:val="none" w:sz="0" w:space="0" w:color="auto"/>
            <w:left w:val="none" w:sz="0" w:space="0" w:color="auto"/>
            <w:bottom w:val="none" w:sz="0" w:space="0" w:color="auto"/>
            <w:right w:val="none" w:sz="0" w:space="0" w:color="auto"/>
          </w:divBdr>
        </w:div>
      </w:divsChild>
    </w:div>
    <w:div w:id="305938462">
      <w:bodyDiv w:val="1"/>
      <w:marLeft w:val="0"/>
      <w:marRight w:val="0"/>
      <w:marTop w:val="0"/>
      <w:marBottom w:val="0"/>
      <w:divBdr>
        <w:top w:val="none" w:sz="0" w:space="0" w:color="auto"/>
        <w:left w:val="none" w:sz="0" w:space="0" w:color="auto"/>
        <w:bottom w:val="none" w:sz="0" w:space="0" w:color="auto"/>
        <w:right w:val="none" w:sz="0" w:space="0" w:color="auto"/>
      </w:divBdr>
      <w:divsChild>
        <w:div w:id="73092317">
          <w:marLeft w:val="0"/>
          <w:marRight w:val="0"/>
          <w:marTop w:val="0"/>
          <w:marBottom w:val="0"/>
          <w:divBdr>
            <w:top w:val="none" w:sz="0" w:space="0" w:color="auto"/>
            <w:left w:val="none" w:sz="0" w:space="0" w:color="auto"/>
            <w:bottom w:val="none" w:sz="0" w:space="0" w:color="auto"/>
            <w:right w:val="none" w:sz="0" w:space="0" w:color="auto"/>
          </w:divBdr>
        </w:div>
        <w:div w:id="837117079">
          <w:marLeft w:val="0"/>
          <w:marRight w:val="0"/>
          <w:marTop w:val="0"/>
          <w:marBottom w:val="0"/>
          <w:divBdr>
            <w:top w:val="none" w:sz="0" w:space="0" w:color="auto"/>
            <w:left w:val="none" w:sz="0" w:space="0" w:color="auto"/>
            <w:bottom w:val="none" w:sz="0" w:space="0" w:color="auto"/>
            <w:right w:val="none" w:sz="0" w:space="0" w:color="auto"/>
          </w:divBdr>
        </w:div>
        <w:div w:id="1271859320">
          <w:marLeft w:val="0"/>
          <w:marRight w:val="0"/>
          <w:marTop w:val="0"/>
          <w:marBottom w:val="0"/>
          <w:divBdr>
            <w:top w:val="none" w:sz="0" w:space="0" w:color="auto"/>
            <w:left w:val="none" w:sz="0" w:space="0" w:color="auto"/>
            <w:bottom w:val="none" w:sz="0" w:space="0" w:color="auto"/>
            <w:right w:val="none" w:sz="0" w:space="0" w:color="auto"/>
          </w:divBdr>
        </w:div>
        <w:div w:id="2099591627">
          <w:marLeft w:val="0"/>
          <w:marRight w:val="0"/>
          <w:marTop w:val="0"/>
          <w:marBottom w:val="0"/>
          <w:divBdr>
            <w:top w:val="none" w:sz="0" w:space="0" w:color="auto"/>
            <w:left w:val="none" w:sz="0" w:space="0" w:color="auto"/>
            <w:bottom w:val="none" w:sz="0" w:space="0" w:color="auto"/>
            <w:right w:val="none" w:sz="0" w:space="0" w:color="auto"/>
          </w:divBdr>
        </w:div>
      </w:divsChild>
    </w:div>
    <w:div w:id="341787173">
      <w:bodyDiv w:val="1"/>
      <w:marLeft w:val="0"/>
      <w:marRight w:val="0"/>
      <w:marTop w:val="0"/>
      <w:marBottom w:val="0"/>
      <w:divBdr>
        <w:top w:val="none" w:sz="0" w:space="0" w:color="auto"/>
        <w:left w:val="none" w:sz="0" w:space="0" w:color="auto"/>
        <w:bottom w:val="none" w:sz="0" w:space="0" w:color="auto"/>
        <w:right w:val="none" w:sz="0" w:space="0" w:color="auto"/>
      </w:divBdr>
      <w:divsChild>
        <w:div w:id="1165780448">
          <w:marLeft w:val="0"/>
          <w:marRight w:val="0"/>
          <w:marTop w:val="0"/>
          <w:marBottom w:val="0"/>
          <w:divBdr>
            <w:top w:val="none" w:sz="0" w:space="0" w:color="auto"/>
            <w:left w:val="none" w:sz="0" w:space="0" w:color="auto"/>
            <w:bottom w:val="none" w:sz="0" w:space="0" w:color="auto"/>
            <w:right w:val="none" w:sz="0" w:space="0" w:color="auto"/>
          </w:divBdr>
        </w:div>
        <w:div w:id="1870944666">
          <w:marLeft w:val="0"/>
          <w:marRight w:val="0"/>
          <w:marTop w:val="0"/>
          <w:marBottom w:val="0"/>
          <w:divBdr>
            <w:top w:val="none" w:sz="0" w:space="0" w:color="auto"/>
            <w:left w:val="none" w:sz="0" w:space="0" w:color="auto"/>
            <w:bottom w:val="none" w:sz="0" w:space="0" w:color="auto"/>
            <w:right w:val="none" w:sz="0" w:space="0" w:color="auto"/>
          </w:divBdr>
        </w:div>
      </w:divsChild>
    </w:div>
    <w:div w:id="354623864">
      <w:bodyDiv w:val="1"/>
      <w:marLeft w:val="0"/>
      <w:marRight w:val="0"/>
      <w:marTop w:val="0"/>
      <w:marBottom w:val="0"/>
      <w:divBdr>
        <w:top w:val="none" w:sz="0" w:space="0" w:color="auto"/>
        <w:left w:val="none" w:sz="0" w:space="0" w:color="auto"/>
        <w:bottom w:val="none" w:sz="0" w:space="0" w:color="auto"/>
        <w:right w:val="none" w:sz="0" w:space="0" w:color="auto"/>
      </w:divBdr>
      <w:divsChild>
        <w:div w:id="118454008">
          <w:marLeft w:val="0"/>
          <w:marRight w:val="0"/>
          <w:marTop w:val="0"/>
          <w:marBottom w:val="0"/>
          <w:divBdr>
            <w:top w:val="none" w:sz="0" w:space="0" w:color="auto"/>
            <w:left w:val="none" w:sz="0" w:space="0" w:color="auto"/>
            <w:bottom w:val="none" w:sz="0" w:space="0" w:color="auto"/>
            <w:right w:val="none" w:sz="0" w:space="0" w:color="auto"/>
          </w:divBdr>
        </w:div>
        <w:div w:id="123935164">
          <w:marLeft w:val="0"/>
          <w:marRight w:val="0"/>
          <w:marTop w:val="0"/>
          <w:marBottom w:val="0"/>
          <w:divBdr>
            <w:top w:val="none" w:sz="0" w:space="0" w:color="auto"/>
            <w:left w:val="none" w:sz="0" w:space="0" w:color="auto"/>
            <w:bottom w:val="none" w:sz="0" w:space="0" w:color="auto"/>
            <w:right w:val="none" w:sz="0" w:space="0" w:color="auto"/>
          </w:divBdr>
        </w:div>
        <w:div w:id="197008529">
          <w:marLeft w:val="0"/>
          <w:marRight w:val="0"/>
          <w:marTop w:val="0"/>
          <w:marBottom w:val="0"/>
          <w:divBdr>
            <w:top w:val="none" w:sz="0" w:space="0" w:color="auto"/>
            <w:left w:val="none" w:sz="0" w:space="0" w:color="auto"/>
            <w:bottom w:val="none" w:sz="0" w:space="0" w:color="auto"/>
            <w:right w:val="none" w:sz="0" w:space="0" w:color="auto"/>
          </w:divBdr>
        </w:div>
        <w:div w:id="782654046">
          <w:marLeft w:val="0"/>
          <w:marRight w:val="0"/>
          <w:marTop w:val="0"/>
          <w:marBottom w:val="0"/>
          <w:divBdr>
            <w:top w:val="none" w:sz="0" w:space="0" w:color="auto"/>
            <w:left w:val="none" w:sz="0" w:space="0" w:color="auto"/>
            <w:bottom w:val="none" w:sz="0" w:space="0" w:color="auto"/>
            <w:right w:val="none" w:sz="0" w:space="0" w:color="auto"/>
          </w:divBdr>
        </w:div>
        <w:div w:id="1588465204">
          <w:marLeft w:val="0"/>
          <w:marRight w:val="0"/>
          <w:marTop w:val="0"/>
          <w:marBottom w:val="0"/>
          <w:divBdr>
            <w:top w:val="none" w:sz="0" w:space="0" w:color="auto"/>
            <w:left w:val="none" w:sz="0" w:space="0" w:color="auto"/>
            <w:bottom w:val="none" w:sz="0" w:space="0" w:color="auto"/>
            <w:right w:val="none" w:sz="0" w:space="0" w:color="auto"/>
          </w:divBdr>
        </w:div>
        <w:div w:id="1829517807">
          <w:marLeft w:val="0"/>
          <w:marRight w:val="0"/>
          <w:marTop w:val="0"/>
          <w:marBottom w:val="0"/>
          <w:divBdr>
            <w:top w:val="none" w:sz="0" w:space="0" w:color="auto"/>
            <w:left w:val="none" w:sz="0" w:space="0" w:color="auto"/>
            <w:bottom w:val="none" w:sz="0" w:space="0" w:color="auto"/>
            <w:right w:val="none" w:sz="0" w:space="0" w:color="auto"/>
          </w:divBdr>
        </w:div>
        <w:div w:id="1961380342">
          <w:marLeft w:val="0"/>
          <w:marRight w:val="0"/>
          <w:marTop w:val="0"/>
          <w:marBottom w:val="0"/>
          <w:divBdr>
            <w:top w:val="none" w:sz="0" w:space="0" w:color="auto"/>
            <w:left w:val="none" w:sz="0" w:space="0" w:color="auto"/>
            <w:bottom w:val="none" w:sz="0" w:space="0" w:color="auto"/>
            <w:right w:val="none" w:sz="0" w:space="0" w:color="auto"/>
          </w:divBdr>
        </w:div>
        <w:div w:id="2135177120">
          <w:marLeft w:val="0"/>
          <w:marRight w:val="0"/>
          <w:marTop w:val="0"/>
          <w:marBottom w:val="0"/>
          <w:divBdr>
            <w:top w:val="none" w:sz="0" w:space="0" w:color="auto"/>
            <w:left w:val="none" w:sz="0" w:space="0" w:color="auto"/>
            <w:bottom w:val="none" w:sz="0" w:space="0" w:color="auto"/>
            <w:right w:val="none" w:sz="0" w:space="0" w:color="auto"/>
          </w:divBdr>
        </w:div>
      </w:divsChild>
    </w:div>
    <w:div w:id="378240400">
      <w:bodyDiv w:val="1"/>
      <w:marLeft w:val="0"/>
      <w:marRight w:val="0"/>
      <w:marTop w:val="0"/>
      <w:marBottom w:val="0"/>
      <w:divBdr>
        <w:top w:val="none" w:sz="0" w:space="0" w:color="auto"/>
        <w:left w:val="none" w:sz="0" w:space="0" w:color="auto"/>
        <w:bottom w:val="none" w:sz="0" w:space="0" w:color="auto"/>
        <w:right w:val="none" w:sz="0" w:space="0" w:color="auto"/>
      </w:divBdr>
      <w:divsChild>
        <w:div w:id="164324988">
          <w:marLeft w:val="0"/>
          <w:marRight w:val="0"/>
          <w:marTop w:val="0"/>
          <w:marBottom w:val="0"/>
          <w:divBdr>
            <w:top w:val="none" w:sz="0" w:space="0" w:color="auto"/>
            <w:left w:val="none" w:sz="0" w:space="0" w:color="auto"/>
            <w:bottom w:val="none" w:sz="0" w:space="0" w:color="auto"/>
            <w:right w:val="none" w:sz="0" w:space="0" w:color="auto"/>
          </w:divBdr>
        </w:div>
        <w:div w:id="179122337">
          <w:marLeft w:val="0"/>
          <w:marRight w:val="0"/>
          <w:marTop w:val="0"/>
          <w:marBottom w:val="0"/>
          <w:divBdr>
            <w:top w:val="none" w:sz="0" w:space="0" w:color="auto"/>
            <w:left w:val="none" w:sz="0" w:space="0" w:color="auto"/>
            <w:bottom w:val="none" w:sz="0" w:space="0" w:color="auto"/>
            <w:right w:val="none" w:sz="0" w:space="0" w:color="auto"/>
          </w:divBdr>
        </w:div>
        <w:div w:id="1140146014">
          <w:marLeft w:val="0"/>
          <w:marRight w:val="0"/>
          <w:marTop w:val="0"/>
          <w:marBottom w:val="0"/>
          <w:divBdr>
            <w:top w:val="none" w:sz="0" w:space="0" w:color="auto"/>
            <w:left w:val="none" w:sz="0" w:space="0" w:color="auto"/>
            <w:bottom w:val="none" w:sz="0" w:space="0" w:color="auto"/>
            <w:right w:val="none" w:sz="0" w:space="0" w:color="auto"/>
          </w:divBdr>
        </w:div>
        <w:div w:id="1217549233">
          <w:marLeft w:val="0"/>
          <w:marRight w:val="0"/>
          <w:marTop w:val="0"/>
          <w:marBottom w:val="0"/>
          <w:divBdr>
            <w:top w:val="none" w:sz="0" w:space="0" w:color="auto"/>
            <w:left w:val="none" w:sz="0" w:space="0" w:color="auto"/>
            <w:bottom w:val="none" w:sz="0" w:space="0" w:color="auto"/>
            <w:right w:val="none" w:sz="0" w:space="0" w:color="auto"/>
          </w:divBdr>
        </w:div>
        <w:div w:id="1322849194">
          <w:marLeft w:val="0"/>
          <w:marRight w:val="0"/>
          <w:marTop w:val="0"/>
          <w:marBottom w:val="0"/>
          <w:divBdr>
            <w:top w:val="none" w:sz="0" w:space="0" w:color="auto"/>
            <w:left w:val="none" w:sz="0" w:space="0" w:color="auto"/>
            <w:bottom w:val="none" w:sz="0" w:space="0" w:color="auto"/>
            <w:right w:val="none" w:sz="0" w:space="0" w:color="auto"/>
          </w:divBdr>
        </w:div>
        <w:div w:id="1420635236">
          <w:marLeft w:val="0"/>
          <w:marRight w:val="0"/>
          <w:marTop w:val="0"/>
          <w:marBottom w:val="0"/>
          <w:divBdr>
            <w:top w:val="none" w:sz="0" w:space="0" w:color="auto"/>
            <w:left w:val="none" w:sz="0" w:space="0" w:color="auto"/>
            <w:bottom w:val="none" w:sz="0" w:space="0" w:color="auto"/>
            <w:right w:val="none" w:sz="0" w:space="0" w:color="auto"/>
          </w:divBdr>
        </w:div>
        <w:div w:id="2126540396">
          <w:marLeft w:val="0"/>
          <w:marRight w:val="0"/>
          <w:marTop w:val="0"/>
          <w:marBottom w:val="0"/>
          <w:divBdr>
            <w:top w:val="none" w:sz="0" w:space="0" w:color="auto"/>
            <w:left w:val="none" w:sz="0" w:space="0" w:color="auto"/>
            <w:bottom w:val="none" w:sz="0" w:space="0" w:color="auto"/>
            <w:right w:val="none" w:sz="0" w:space="0" w:color="auto"/>
          </w:divBdr>
        </w:div>
      </w:divsChild>
    </w:div>
    <w:div w:id="391125937">
      <w:bodyDiv w:val="1"/>
      <w:marLeft w:val="0"/>
      <w:marRight w:val="0"/>
      <w:marTop w:val="0"/>
      <w:marBottom w:val="0"/>
      <w:divBdr>
        <w:top w:val="none" w:sz="0" w:space="0" w:color="auto"/>
        <w:left w:val="none" w:sz="0" w:space="0" w:color="auto"/>
        <w:bottom w:val="none" w:sz="0" w:space="0" w:color="auto"/>
        <w:right w:val="none" w:sz="0" w:space="0" w:color="auto"/>
      </w:divBdr>
      <w:divsChild>
        <w:div w:id="418257571">
          <w:marLeft w:val="0"/>
          <w:marRight w:val="0"/>
          <w:marTop w:val="0"/>
          <w:marBottom w:val="0"/>
          <w:divBdr>
            <w:top w:val="none" w:sz="0" w:space="0" w:color="auto"/>
            <w:left w:val="none" w:sz="0" w:space="0" w:color="auto"/>
            <w:bottom w:val="none" w:sz="0" w:space="0" w:color="auto"/>
            <w:right w:val="none" w:sz="0" w:space="0" w:color="auto"/>
          </w:divBdr>
        </w:div>
        <w:div w:id="506483987">
          <w:marLeft w:val="0"/>
          <w:marRight w:val="0"/>
          <w:marTop w:val="0"/>
          <w:marBottom w:val="0"/>
          <w:divBdr>
            <w:top w:val="none" w:sz="0" w:space="0" w:color="auto"/>
            <w:left w:val="none" w:sz="0" w:space="0" w:color="auto"/>
            <w:bottom w:val="none" w:sz="0" w:space="0" w:color="auto"/>
            <w:right w:val="none" w:sz="0" w:space="0" w:color="auto"/>
          </w:divBdr>
        </w:div>
        <w:div w:id="1656569244">
          <w:marLeft w:val="0"/>
          <w:marRight w:val="0"/>
          <w:marTop w:val="0"/>
          <w:marBottom w:val="0"/>
          <w:divBdr>
            <w:top w:val="none" w:sz="0" w:space="0" w:color="auto"/>
            <w:left w:val="none" w:sz="0" w:space="0" w:color="auto"/>
            <w:bottom w:val="none" w:sz="0" w:space="0" w:color="auto"/>
            <w:right w:val="none" w:sz="0" w:space="0" w:color="auto"/>
          </w:divBdr>
        </w:div>
        <w:div w:id="1708407126">
          <w:marLeft w:val="0"/>
          <w:marRight w:val="0"/>
          <w:marTop w:val="0"/>
          <w:marBottom w:val="0"/>
          <w:divBdr>
            <w:top w:val="none" w:sz="0" w:space="0" w:color="auto"/>
            <w:left w:val="none" w:sz="0" w:space="0" w:color="auto"/>
            <w:bottom w:val="none" w:sz="0" w:space="0" w:color="auto"/>
            <w:right w:val="none" w:sz="0" w:space="0" w:color="auto"/>
          </w:divBdr>
        </w:div>
        <w:div w:id="2056736563">
          <w:marLeft w:val="0"/>
          <w:marRight w:val="0"/>
          <w:marTop w:val="0"/>
          <w:marBottom w:val="0"/>
          <w:divBdr>
            <w:top w:val="none" w:sz="0" w:space="0" w:color="auto"/>
            <w:left w:val="none" w:sz="0" w:space="0" w:color="auto"/>
            <w:bottom w:val="none" w:sz="0" w:space="0" w:color="auto"/>
            <w:right w:val="none" w:sz="0" w:space="0" w:color="auto"/>
          </w:divBdr>
        </w:div>
      </w:divsChild>
    </w:div>
    <w:div w:id="392315313">
      <w:bodyDiv w:val="1"/>
      <w:marLeft w:val="0"/>
      <w:marRight w:val="0"/>
      <w:marTop w:val="0"/>
      <w:marBottom w:val="0"/>
      <w:divBdr>
        <w:top w:val="none" w:sz="0" w:space="0" w:color="auto"/>
        <w:left w:val="none" w:sz="0" w:space="0" w:color="auto"/>
        <w:bottom w:val="none" w:sz="0" w:space="0" w:color="auto"/>
        <w:right w:val="none" w:sz="0" w:space="0" w:color="auto"/>
      </w:divBdr>
    </w:div>
    <w:div w:id="395664950">
      <w:bodyDiv w:val="1"/>
      <w:marLeft w:val="0"/>
      <w:marRight w:val="0"/>
      <w:marTop w:val="0"/>
      <w:marBottom w:val="0"/>
      <w:divBdr>
        <w:top w:val="none" w:sz="0" w:space="0" w:color="auto"/>
        <w:left w:val="none" w:sz="0" w:space="0" w:color="auto"/>
        <w:bottom w:val="none" w:sz="0" w:space="0" w:color="auto"/>
        <w:right w:val="none" w:sz="0" w:space="0" w:color="auto"/>
      </w:divBdr>
      <w:divsChild>
        <w:div w:id="245772636">
          <w:marLeft w:val="0"/>
          <w:marRight w:val="0"/>
          <w:marTop w:val="0"/>
          <w:marBottom w:val="0"/>
          <w:divBdr>
            <w:top w:val="none" w:sz="0" w:space="0" w:color="auto"/>
            <w:left w:val="none" w:sz="0" w:space="0" w:color="auto"/>
            <w:bottom w:val="none" w:sz="0" w:space="0" w:color="auto"/>
            <w:right w:val="none" w:sz="0" w:space="0" w:color="auto"/>
          </w:divBdr>
        </w:div>
        <w:div w:id="281423141">
          <w:marLeft w:val="0"/>
          <w:marRight w:val="0"/>
          <w:marTop w:val="0"/>
          <w:marBottom w:val="0"/>
          <w:divBdr>
            <w:top w:val="none" w:sz="0" w:space="0" w:color="auto"/>
            <w:left w:val="none" w:sz="0" w:space="0" w:color="auto"/>
            <w:bottom w:val="none" w:sz="0" w:space="0" w:color="auto"/>
            <w:right w:val="none" w:sz="0" w:space="0" w:color="auto"/>
          </w:divBdr>
        </w:div>
        <w:div w:id="621232774">
          <w:marLeft w:val="0"/>
          <w:marRight w:val="0"/>
          <w:marTop w:val="0"/>
          <w:marBottom w:val="0"/>
          <w:divBdr>
            <w:top w:val="none" w:sz="0" w:space="0" w:color="auto"/>
            <w:left w:val="none" w:sz="0" w:space="0" w:color="auto"/>
            <w:bottom w:val="none" w:sz="0" w:space="0" w:color="auto"/>
            <w:right w:val="none" w:sz="0" w:space="0" w:color="auto"/>
          </w:divBdr>
        </w:div>
        <w:div w:id="763844141">
          <w:marLeft w:val="0"/>
          <w:marRight w:val="0"/>
          <w:marTop w:val="0"/>
          <w:marBottom w:val="0"/>
          <w:divBdr>
            <w:top w:val="none" w:sz="0" w:space="0" w:color="auto"/>
            <w:left w:val="none" w:sz="0" w:space="0" w:color="auto"/>
            <w:bottom w:val="none" w:sz="0" w:space="0" w:color="auto"/>
            <w:right w:val="none" w:sz="0" w:space="0" w:color="auto"/>
          </w:divBdr>
        </w:div>
        <w:div w:id="852567627">
          <w:marLeft w:val="0"/>
          <w:marRight w:val="0"/>
          <w:marTop w:val="0"/>
          <w:marBottom w:val="0"/>
          <w:divBdr>
            <w:top w:val="none" w:sz="0" w:space="0" w:color="auto"/>
            <w:left w:val="none" w:sz="0" w:space="0" w:color="auto"/>
            <w:bottom w:val="none" w:sz="0" w:space="0" w:color="auto"/>
            <w:right w:val="none" w:sz="0" w:space="0" w:color="auto"/>
          </w:divBdr>
        </w:div>
        <w:div w:id="939798146">
          <w:marLeft w:val="0"/>
          <w:marRight w:val="0"/>
          <w:marTop w:val="0"/>
          <w:marBottom w:val="0"/>
          <w:divBdr>
            <w:top w:val="none" w:sz="0" w:space="0" w:color="auto"/>
            <w:left w:val="none" w:sz="0" w:space="0" w:color="auto"/>
            <w:bottom w:val="none" w:sz="0" w:space="0" w:color="auto"/>
            <w:right w:val="none" w:sz="0" w:space="0" w:color="auto"/>
          </w:divBdr>
        </w:div>
        <w:div w:id="953486439">
          <w:marLeft w:val="0"/>
          <w:marRight w:val="0"/>
          <w:marTop w:val="0"/>
          <w:marBottom w:val="0"/>
          <w:divBdr>
            <w:top w:val="none" w:sz="0" w:space="0" w:color="auto"/>
            <w:left w:val="none" w:sz="0" w:space="0" w:color="auto"/>
            <w:bottom w:val="none" w:sz="0" w:space="0" w:color="auto"/>
            <w:right w:val="none" w:sz="0" w:space="0" w:color="auto"/>
          </w:divBdr>
        </w:div>
        <w:div w:id="1509443495">
          <w:marLeft w:val="0"/>
          <w:marRight w:val="0"/>
          <w:marTop w:val="0"/>
          <w:marBottom w:val="0"/>
          <w:divBdr>
            <w:top w:val="none" w:sz="0" w:space="0" w:color="auto"/>
            <w:left w:val="none" w:sz="0" w:space="0" w:color="auto"/>
            <w:bottom w:val="none" w:sz="0" w:space="0" w:color="auto"/>
            <w:right w:val="none" w:sz="0" w:space="0" w:color="auto"/>
          </w:divBdr>
        </w:div>
        <w:div w:id="1570729115">
          <w:marLeft w:val="0"/>
          <w:marRight w:val="0"/>
          <w:marTop w:val="0"/>
          <w:marBottom w:val="0"/>
          <w:divBdr>
            <w:top w:val="none" w:sz="0" w:space="0" w:color="auto"/>
            <w:left w:val="none" w:sz="0" w:space="0" w:color="auto"/>
            <w:bottom w:val="none" w:sz="0" w:space="0" w:color="auto"/>
            <w:right w:val="none" w:sz="0" w:space="0" w:color="auto"/>
          </w:divBdr>
        </w:div>
        <w:div w:id="1582910879">
          <w:marLeft w:val="0"/>
          <w:marRight w:val="0"/>
          <w:marTop w:val="0"/>
          <w:marBottom w:val="0"/>
          <w:divBdr>
            <w:top w:val="none" w:sz="0" w:space="0" w:color="auto"/>
            <w:left w:val="none" w:sz="0" w:space="0" w:color="auto"/>
            <w:bottom w:val="none" w:sz="0" w:space="0" w:color="auto"/>
            <w:right w:val="none" w:sz="0" w:space="0" w:color="auto"/>
          </w:divBdr>
        </w:div>
        <w:div w:id="1996494634">
          <w:marLeft w:val="0"/>
          <w:marRight w:val="0"/>
          <w:marTop w:val="0"/>
          <w:marBottom w:val="0"/>
          <w:divBdr>
            <w:top w:val="none" w:sz="0" w:space="0" w:color="auto"/>
            <w:left w:val="none" w:sz="0" w:space="0" w:color="auto"/>
            <w:bottom w:val="none" w:sz="0" w:space="0" w:color="auto"/>
            <w:right w:val="none" w:sz="0" w:space="0" w:color="auto"/>
          </w:divBdr>
        </w:div>
        <w:div w:id="2141879362">
          <w:marLeft w:val="0"/>
          <w:marRight w:val="0"/>
          <w:marTop w:val="0"/>
          <w:marBottom w:val="0"/>
          <w:divBdr>
            <w:top w:val="none" w:sz="0" w:space="0" w:color="auto"/>
            <w:left w:val="none" w:sz="0" w:space="0" w:color="auto"/>
            <w:bottom w:val="none" w:sz="0" w:space="0" w:color="auto"/>
            <w:right w:val="none" w:sz="0" w:space="0" w:color="auto"/>
          </w:divBdr>
        </w:div>
      </w:divsChild>
    </w:div>
    <w:div w:id="402720979">
      <w:bodyDiv w:val="1"/>
      <w:marLeft w:val="0"/>
      <w:marRight w:val="0"/>
      <w:marTop w:val="0"/>
      <w:marBottom w:val="0"/>
      <w:divBdr>
        <w:top w:val="none" w:sz="0" w:space="0" w:color="auto"/>
        <w:left w:val="none" w:sz="0" w:space="0" w:color="auto"/>
        <w:bottom w:val="none" w:sz="0" w:space="0" w:color="auto"/>
        <w:right w:val="none" w:sz="0" w:space="0" w:color="auto"/>
      </w:divBdr>
      <w:divsChild>
        <w:div w:id="767123260">
          <w:marLeft w:val="0"/>
          <w:marRight w:val="0"/>
          <w:marTop w:val="0"/>
          <w:marBottom w:val="0"/>
          <w:divBdr>
            <w:top w:val="none" w:sz="0" w:space="0" w:color="auto"/>
            <w:left w:val="none" w:sz="0" w:space="0" w:color="auto"/>
            <w:bottom w:val="none" w:sz="0" w:space="0" w:color="auto"/>
            <w:right w:val="none" w:sz="0" w:space="0" w:color="auto"/>
          </w:divBdr>
        </w:div>
      </w:divsChild>
    </w:div>
    <w:div w:id="422339112">
      <w:bodyDiv w:val="1"/>
      <w:marLeft w:val="0"/>
      <w:marRight w:val="0"/>
      <w:marTop w:val="0"/>
      <w:marBottom w:val="0"/>
      <w:divBdr>
        <w:top w:val="none" w:sz="0" w:space="0" w:color="auto"/>
        <w:left w:val="none" w:sz="0" w:space="0" w:color="auto"/>
        <w:bottom w:val="none" w:sz="0" w:space="0" w:color="auto"/>
        <w:right w:val="none" w:sz="0" w:space="0" w:color="auto"/>
      </w:divBdr>
      <w:divsChild>
        <w:div w:id="2087219572">
          <w:marLeft w:val="0"/>
          <w:marRight w:val="0"/>
          <w:marTop w:val="0"/>
          <w:marBottom w:val="0"/>
          <w:divBdr>
            <w:top w:val="none" w:sz="0" w:space="0" w:color="auto"/>
            <w:left w:val="none" w:sz="0" w:space="0" w:color="auto"/>
            <w:bottom w:val="none" w:sz="0" w:space="0" w:color="auto"/>
            <w:right w:val="none" w:sz="0" w:space="0" w:color="auto"/>
          </w:divBdr>
        </w:div>
      </w:divsChild>
    </w:div>
    <w:div w:id="430706638">
      <w:bodyDiv w:val="1"/>
      <w:marLeft w:val="0"/>
      <w:marRight w:val="0"/>
      <w:marTop w:val="0"/>
      <w:marBottom w:val="0"/>
      <w:divBdr>
        <w:top w:val="none" w:sz="0" w:space="0" w:color="auto"/>
        <w:left w:val="none" w:sz="0" w:space="0" w:color="auto"/>
        <w:bottom w:val="none" w:sz="0" w:space="0" w:color="auto"/>
        <w:right w:val="none" w:sz="0" w:space="0" w:color="auto"/>
      </w:divBdr>
      <w:divsChild>
        <w:div w:id="103815210">
          <w:marLeft w:val="0"/>
          <w:marRight w:val="0"/>
          <w:marTop w:val="0"/>
          <w:marBottom w:val="0"/>
          <w:divBdr>
            <w:top w:val="none" w:sz="0" w:space="0" w:color="auto"/>
            <w:left w:val="none" w:sz="0" w:space="0" w:color="auto"/>
            <w:bottom w:val="none" w:sz="0" w:space="0" w:color="auto"/>
            <w:right w:val="none" w:sz="0" w:space="0" w:color="auto"/>
          </w:divBdr>
        </w:div>
        <w:div w:id="420293362">
          <w:marLeft w:val="0"/>
          <w:marRight w:val="0"/>
          <w:marTop w:val="0"/>
          <w:marBottom w:val="0"/>
          <w:divBdr>
            <w:top w:val="none" w:sz="0" w:space="0" w:color="auto"/>
            <w:left w:val="none" w:sz="0" w:space="0" w:color="auto"/>
            <w:bottom w:val="none" w:sz="0" w:space="0" w:color="auto"/>
            <w:right w:val="none" w:sz="0" w:space="0" w:color="auto"/>
          </w:divBdr>
        </w:div>
      </w:divsChild>
    </w:div>
    <w:div w:id="437414242">
      <w:bodyDiv w:val="1"/>
      <w:marLeft w:val="0"/>
      <w:marRight w:val="0"/>
      <w:marTop w:val="0"/>
      <w:marBottom w:val="0"/>
      <w:divBdr>
        <w:top w:val="none" w:sz="0" w:space="0" w:color="auto"/>
        <w:left w:val="none" w:sz="0" w:space="0" w:color="auto"/>
        <w:bottom w:val="none" w:sz="0" w:space="0" w:color="auto"/>
        <w:right w:val="none" w:sz="0" w:space="0" w:color="auto"/>
      </w:divBdr>
      <w:divsChild>
        <w:div w:id="20518038">
          <w:marLeft w:val="0"/>
          <w:marRight w:val="0"/>
          <w:marTop w:val="0"/>
          <w:marBottom w:val="0"/>
          <w:divBdr>
            <w:top w:val="none" w:sz="0" w:space="0" w:color="auto"/>
            <w:left w:val="none" w:sz="0" w:space="0" w:color="auto"/>
            <w:bottom w:val="none" w:sz="0" w:space="0" w:color="auto"/>
            <w:right w:val="none" w:sz="0" w:space="0" w:color="auto"/>
          </w:divBdr>
        </w:div>
        <w:div w:id="51924498">
          <w:marLeft w:val="0"/>
          <w:marRight w:val="0"/>
          <w:marTop w:val="0"/>
          <w:marBottom w:val="0"/>
          <w:divBdr>
            <w:top w:val="none" w:sz="0" w:space="0" w:color="auto"/>
            <w:left w:val="none" w:sz="0" w:space="0" w:color="auto"/>
            <w:bottom w:val="none" w:sz="0" w:space="0" w:color="auto"/>
            <w:right w:val="none" w:sz="0" w:space="0" w:color="auto"/>
          </w:divBdr>
        </w:div>
        <w:div w:id="190531329">
          <w:marLeft w:val="0"/>
          <w:marRight w:val="0"/>
          <w:marTop w:val="0"/>
          <w:marBottom w:val="0"/>
          <w:divBdr>
            <w:top w:val="none" w:sz="0" w:space="0" w:color="auto"/>
            <w:left w:val="none" w:sz="0" w:space="0" w:color="auto"/>
            <w:bottom w:val="none" w:sz="0" w:space="0" w:color="auto"/>
            <w:right w:val="none" w:sz="0" w:space="0" w:color="auto"/>
          </w:divBdr>
        </w:div>
        <w:div w:id="359824854">
          <w:marLeft w:val="0"/>
          <w:marRight w:val="0"/>
          <w:marTop w:val="0"/>
          <w:marBottom w:val="0"/>
          <w:divBdr>
            <w:top w:val="none" w:sz="0" w:space="0" w:color="auto"/>
            <w:left w:val="none" w:sz="0" w:space="0" w:color="auto"/>
            <w:bottom w:val="none" w:sz="0" w:space="0" w:color="auto"/>
            <w:right w:val="none" w:sz="0" w:space="0" w:color="auto"/>
          </w:divBdr>
        </w:div>
        <w:div w:id="406731567">
          <w:marLeft w:val="0"/>
          <w:marRight w:val="0"/>
          <w:marTop w:val="0"/>
          <w:marBottom w:val="0"/>
          <w:divBdr>
            <w:top w:val="none" w:sz="0" w:space="0" w:color="auto"/>
            <w:left w:val="none" w:sz="0" w:space="0" w:color="auto"/>
            <w:bottom w:val="none" w:sz="0" w:space="0" w:color="auto"/>
            <w:right w:val="none" w:sz="0" w:space="0" w:color="auto"/>
          </w:divBdr>
        </w:div>
        <w:div w:id="567542557">
          <w:marLeft w:val="0"/>
          <w:marRight w:val="0"/>
          <w:marTop w:val="0"/>
          <w:marBottom w:val="0"/>
          <w:divBdr>
            <w:top w:val="none" w:sz="0" w:space="0" w:color="auto"/>
            <w:left w:val="none" w:sz="0" w:space="0" w:color="auto"/>
            <w:bottom w:val="none" w:sz="0" w:space="0" w:color="auto"/>
            <w:right w:val="none" w:sz="0" w:space="0" w:color="auto"/>
          </w:divBdr>
        </w:div>
        <w:div w:id="684282320">
          <w:marLeft w:val="0"/>
          <w:marRight w:val="0"/>
          <w:marTop w:val="0"/>
          <w:marBottom w:val="0"/>
          <w:divBdr>
            <w:top w:val="none" w:sz="0" w:space="0" w:color="auto"/>
            <w:left w:val="none" w:sz="0" w:space="0" w:color="auto"/>
            <w:bottom w:val="none" w:sz="0" w:space="0" w:color="auto"/>
            <w:right w:val="none" w:sz="0" w:space="0" w:color="auto"/>
          </w:divBdr>
        </w:div>
        <w:div w:id="799231804">
          <w:marLeft w:val="0"/>
          <w:marRight w:val="0"/>
          <w:marTop w:val="0"/>
          <w:marBottom w:val="0"/>
          <w:divBdr>
            <w:top w:val="none" w:sz="0" w:space="0" w:color="auto"/>
            <w:left w:val="none" w:sz="0" w:space="0" w:color="auto"/>
            <w:bottom w:val="none" w:sz="0" w:space="0" w:color="auto"/>
            <w:right w:val="none" w:sz="0" w:space="0" w:color="auto"/>
          </w:divBdr>
        </w:div>
        <w:div w:id="1124471170">
          <w:marLeft w:val="0"/>
          <w:marRight w:val="0"/>
          <w:marTop w:val="0"/>
          <w:marBottom w:val="0"/>
          <w:divBdr>
            <w:top w:val="none" w:sz="0" w:space="0" w:color="auto"/>
            <w:left w:val="none" w:sz="0" w:space="0" w:color="auto"/>
            <w:bottom w:val="none" w:sz="0" w:space="0" w:color="auto"/>
            <w:right w:val="none" w:sz="0" w:space="0" w:color="auto"/>
          </w:divBdr>
        </w:div>
        <w:div w:id="1255094585">
          <w:marLeft w:val="0"/>
          <w:marRight w:val="0"/>
          <w:marTop w:val="0"/>
          <w:marBottom w:val="0"/>
          <w:divBdr>
            <w:top w:val="none" w:sz="0" w:space="0" w:color="auto"/>
            <w:left w:val="none" w:sz="0" w:space="0" w:color="auto"/>
            <w:bottom w:val="none" w:sz="0" w:space="0" w:color="auto"/>
            <w:right w:val="none" w:sz="0" w:space="0" w:color="auto"/>
          </w:divBdr>
        </w:div>
        <w:div w:id="1355228373">
          <w:marLeft w:val="0"/>
          <w:marRight w:val="0"/>
          <w:marTop w:val="0"/>
          <w:marBottom w:val="0"/>
          <w:divBdr>
            <w:top w:val="none" w:sz="0" w:space="0" w:color="auto"/>
            <w:left w:val="none" w:sz="0" w:space="0" w:color="auto"/>
            <w:bottom w:val="none" w:sz="0" w:space="0" w:color="auto"/>
            <w:right w:val="none" w:sz="0" w:space="0" w:color="auto"/>
          </w:divBdr>
        </w:div>
        <w:div w:id="1477184662">
          <w:marLeft w:val="0"/>
          <w:marRight w:val="0"/>
          <w:marTop w:val="0"/>
          <w:marBottom w:val="0"/>
          <w:divBdr>
            <w:top w:val="none" w:sz="0" w:space="0" w:color="auto"/>
            <w:left w:val="none" w:sz="0" w:space="0" w:color="auto"/>
            <w:bottom w:val="none" w:sz="0" w:space="0" w:color="auto"/>
            <w:right w:val="none" w:sz="0" w:space="0" w:color="auto"/>
          </w:divBdr>
        </w:div>
        <w:div w:id="1854109010">
          <w:marLeft w:val="0"/>
          <w:marRight w:val="0"/>
          <w:marTop w:val="0"/>
          <w:marBottom w:val="0"/>
          <w:divBdr>
            <w:top w:val="none" w:sz="0" w:space="0" w:color="auto"/>
            <w:left w:val="none" w:sz="0" w:space="0" w:color="auto"/>
            <w:bottom w:val="none" w:sz="0" w:space="0" w:color="auto"/>
            <w:right w:val="none" w:sz="0" w:space="0" w:color="auto"/>
          </w:divBdr>
        </w:div>
        <w:div w:id="1859927155">
          <w:marLeft w:val="0"/>
          <w:marRight w:val="0"/>
          <w:marTop w:val="0"/>
          <w:marBottom w:val="0"/>
          <w:divBdr>
            <w:top w:val="none" w:sz="0" w:space="0" w:color="auto"/>
            <w:left w:val="none" w:sz="0" w:space="0" w:color="auto"/>
            <w:bottom w:val="none" w:sz="0" w:space="0" w:color="auto"/>
            <w:right w:val="none" w:sz="0" w:space="0" w:color="auto"/>
          </w:divBdr>
        </w:div>
      </w:divsChild>
    </w:div>
    <w:div w:id="442893022">
      <w:bodyDiv w:val="1"/>
      <w:marLeft w:val="0"/>
      <w:marRight w:val="0"/>
      <w:marTop w:val="0"/>
      <w:marBottom w:val="0"/>
      <w:divBdr>
        <w:top w:val="none" w:sz="0" w:space="0" w:color="auto"/>
        <w:left w:val="none" w:sz="0" w:space="0" w:color="auto"/>
        <w:bottom w:val="none" w:sz="0" w:space="0" w:color="auto"/>
        <w:right w:val="none" w:sz="0" w:space="0" w:color="auto"/>
      </w:divBdr>
      <w:divsChild>
        <w:div w:id="1115950518">
          <w:marLeft w:val="0"/>
          <w:marRight w:val="0"/>
          <w:marTop w:val="0"/>
          <w:marBottom w:val="0"/>
          <w:divBdr>
            <w:top w:val="none" w:sz="0" w:space="0" w:color="auto"/>
            <w:left w:val="none" w:sz="0" w:space="0" w:color="auto"/>
            <w:bottom w:val="none" w:sz="0" w:space="0" w:color="auto"/>
            <w:right w:val="none" w:sz="0" w:space="0" w:color="auto"/>
          </w:divBdr>
          <w:divsChild>
            <w:div w:id="124397339">
              <w:marLeft w:val="0"/>
              <w:marRight w:val="0"/>
              <w:marTop w:val="0"/>
              <w:marBottom w:val="0"/>
              <w:divBdr>
                <w:top w:val="none" w:sz="0" w:space="0" w:color="auto"/>
                <w:left w:val="none" w:sz="0" w:space="0" w:color="auto"/>
                <w:bottom w:val="none" w:sz="0" w:space="0" w:color="auto"/>
                <w:right w:val="none" w:sz="0" w:space="0" w:color="auto"/>
              </w:divBdr>
              <w:divsChild>
                <w:div w:id="8898786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0440772">
      <w:bodyDiv w:val="1"/>
      <w:marLeft w:val="0"/>
      <w:marRight w:val="0"/>
      <w:marTop w:val="0"/>
      <w:marBottom w:val="0"/>
      <w:divBdr>
        <w:top w:val="none" w:sz="0" w:space="0" w:color="auto"/>
        <w:left w:val="none" w:sz="0" w:space="0" w:color="auto"/>
        <w:bottom w:val="none" w:sz="0" w:space="0" w:color="auto"/>
        <w:right w:val="none" w:sz="0" w:space="0" w:color="auto"/>
      </w:divBdr>
    </w:div>
    <w:div w:id="458181779">
      <w:bodyDiv w:val="1"/>
      <w:marLeft w:val="0"/>
      <w:marRight w:val="0"/>
      <w:marTop w:val="0"/>
      <w:marBottom w:val="0"/>
      <w:divBdr>
        <w:top w:val="none" w:sz="0" w:space="0" w:color="auto"/>
        <w:left w:val="none" w:sz="0" w:space="0" w:color="auto"/>
        <w:bottom w:val="none" w:sz="0" w:space="0" w:color="auto"/>
        <w:right w:val="none" w:sz="0" w:space="0" w:color="auto"/>
      </w:divBdr>
      <w:divsChild>
        <w:div w:id="10255756">
          <w:marLeft w:val="0"/>
          <w:marRight w:val="0"/>
          <w:marTop w:val="0"/>
          <w:marBottom w:val="0"/>
          <w:divBdr>
            <w:top w:val="none" w:sz="0" w:space="0" w:color="auto"/>
            <w:left w:val="none" w:sz="0" w:space="0" w:color="auto"/>
            <w:bottom w:val="none" w:sz="0" w:space="0" w:color="auto"/>
            <w:right w:val="none" w:sz="0" w:space="0" w:color="auto"/>
          </w:divBdr>
        </w:div>
        <w:div w:id="88821046">
          <w:marLeft w:val="0"/>
          <w:marRight w:val="0"/>
          <w:marTop w:val="0"/>
          <w:marBottom w:val="0"/>
          <w:divBdr>
            <w:top w:val="none" w:sz="0" w:space="0" w:color="auto"/>
            <w:left w:val="none" w:sz="0" w:space="0" w:color="auto"/>
            <w:bottom w:val="none" w:sz="0" w:space="0" w:color="auto"/>
            <w:right w:val="none" w:sz="0" w:space="0" w:color="auto"/>
          </w:divBdr>
        </w:div>
        <w:div w:id="175926129">
          <w:marLeft w:val="0"/>
          <w:marRight w:val="0"/>
          <w:marTop w:val="0"/>
          <w:marBottom w:val="0"/>
          <w:divBdr>
            <w:top w:val="none" w:sz="0" w:space="0" w:color="auto"/>
            <w:left w:val="none" w:sz="0" w:space="0" w:color="auto"/>
            <w:bottom w:val="none" w:sz="0" w:space="0" w:color="auto"/>
            <w:right w:val="none" w:sz="0" w:space="0" w:color="auto"/>
          </w:divBdr>
        </w:div>
        <w:div w:id="190579886">
          <w:marLeft w:val="0"/>
          <w:marRight w:val="0"/>
          <w:marTop w:val="0"/>
          <w:marBottom w:val="0"/>
          <w:divBdr>
            <w:top w:val="none" w:sz="0" w:space="0" w:color="auto"/>
            <w:left w:val="none" w:sz="0" w:space="0" w:color="auto"/>
            <w:bottom w:val="none" w:sz="0" w:space="0" w:color="auto"/>
            <w:right w:val="none" w:sz="0" w:space="0" w:color="auto"/>
          </w:divBdr>
        </w:div>
        <w:div w:id="315376385">
          <w:marLeft w:val="0"/>
          <w:marRight w:val="0"/>
          <w:marTop w:val="0"/>
          <w:marBottom w:val="0"/>
          <w:divBdr>
            <w:top w:val="none" w:sz="0" w:space="0" w:color="auto"/>
            <w:left w:val="none" w:sz="0" w:space="0" w:color="auto"/>
            <w:bottom w:val="none" w:sz="0" w:space="0" w:color="auto"/>
            <w:right w:val="none" w:sz="0" w:space="0" w:color="auto"/>
          </w:divBdr>
        </w:div>
        <w:div w:id="476648387">
          <w:marLeft w:val="0"/>
          <w:marRight w:val="0"/>
          <w:marTop w:val="0"/>
          <w:marBottom w:val="0"/>
          <w:divBdr>
            <w:top w:val="none" w:sz="0" w:space="0" w:color="auto"/>
            <w:left w:val="none" w:sz="0" w:space="0" w:color="auto"/>
            <w:bottom w:val="none" w:sz="0" w:space="0" w:color="auto"/>
            <w:right w:val="none" w:sz="0" w:space="0" w:color="auto"/>
          </w:divBdr>
        </w:div>
        <w:div w:id="487552383">
          <w:marLeft w:val="0"/>
          <w:marRight w:val="0"/>
          <w:marTop w:val="0"/>
          <w:marBottom w:val="0"/>
          <w:divBdr>
            <w:top w:val="none" w:sz="0" w:space="0" w:color="auto"/>
            <w:left w:val="none" w:sz="0" w:space="0" w:color="auto"/>
            <w:bottom w:val="none" w:sz="0" w:space="0" w:color="auto"/>
            <w:right w:val="none" w:sz="0" w:space="0" w:color="auto"/>
          </w:divBdr>
        </w:div>
        <w:div w:id="510097941">
          <w:marLeft w:val="0"/>
          <w:marRight w:val="0"/>
          <w:marTop w:val="0"/>
          <w:marBottom w:val="0"/>
          <w:divBdr>
            <w:top w:val="none" w:sz="0" w:space="0" w:color="auto"/>
            <w:left w:val="none" w:sz="0" w:space="0" w:color="auto"/>
            <w:bottom w:val="none" w:sz="0" w:space="0" w:color="auto"/>
            <w:right w:val="none" w:sz="0" w:space="0" w:color="auto"/>
          </w:divBdr>
        </w:div>
        <w:div w:id="538975456">
          <w:marLeft w:val="0"/>
          <w:marRight w:val="0"/>
          <w:marTop w:val="0"/>
          <w:marBottom w:val="0"/>
          <w:divBdr>
            <w:top w:val="none" w:sz="0" w:space="0" w:color="auto"/>
            <w:left w:val="none" w:sz="0" w:space="0" w:color="auto"/>
            <w:bottom w:val="none" w:sz="0" w:space="0" w:color="auto"/>
            <w:right w:val="none" w:sz="0" w:space="0" w:color="auto"/>
          </w:divBdr>
        </w:div>
        <w:div w:id="621962345">
          <w:marLeft w:val="0"/>
          <w:marRight w:val="0"/>
          <w:marTop w:val="0"/>
          <w:marBottom w:val="0"/>
          <w:divBdr>
            <w:top w:val="none" w:sz="0" w:space="0" w:color="auto"/>
            <w:left w:val="none" w:sz="0" w:space="0" w:color="auto"/>
            <w:bottom w:val="none" w:sz="0" w:space="0" w:color="auto"/>
            <w:right w:val="none" w:sz="0" w:space="0" w:color="auto"/>
          </w:divBdr>
        </w:div>
        <w:div w:id="676813042">
          <w:marLeft w:val="0"/>
          <w:marRight w:val="0"/>
          <w:marTop w:val="0"/>
          <w:marBottom w:val="0"/>
          <w:divBdr>
            <w:top w:val="none" w:sz="0" w:space="0" w:color="auto"/>
            <w:left w:val="none" w:sz="0" w:space="0" w:color="auto"/>
            <w:bottom w:val="none" w:sz="0" w:space="0" w:color="auto"/>
            <w:right w:val="none" w:sz="0" w:space="0" w:color="auto"/>
          </w:divBdr>
        </w:div>
        <w:div w:id="727531518">
          <w:marLeft w:val="0"/>
          <w:marRight w:val="0"/>
          <w:marTop w:val="0"/>
          <w:marBottom w:val="0"/>
          <w:divBdr>
            <w:top w:val="none" w:sz="0" w:space="0" w:color="auto"/>
            <w:left w:val="none" w:sz="0" w:space="0" w:color="auto"/>
            <w:bottom w:val="none" w:sz="0" w:space="0" w:color="auto"/>
            <w:right w:val="none" w:sz="0" w:space="0" w:color="auto"/>
          </w:divBdr>
        </w:div>
        <w:div w:id="774834422">
          <w:marLeft w:val="0"/>
          <w:marRight w:val="0"/>
          <w:marTop w:val="0"/>
          <w:marBottom w:val="0"/>
          <w:divBdr>
            <w:top w:val="none" w:sz="0" w:space="0" w:color="auto"/>
            <w:left w:val="none" w:sz="0" w:space="0" w:color="auto"/>
            <w:bottom w:val="none" w:sz="0" w:space="0" w:color="auto"/>
            <w:right w:val="none" w:sz="0" w:space="0" w:color="auto"/>
          </w:divBdr>
        </w:div>
        <w:div w:id="999771357">
          <w:marLeft w:val="0"/>
          <w:marRight w:val="0"/>
          <w:marTop w:val="0"/>
          <w:marBottom w:val="0"/>
          <w:divBdr>
            <w:top w:val="none" w:sz="0" w:space="0" w:color="auto"/>
            <w:left w:val="none" w:sz="0" w:space="0" w:color="auto"/>
            <w:bottom w:val="none" w:sz="0" w:space="0" w:color="auto"/>
            <w:right w:val="none" w:sz="0" w:space="0" w:color="auto"/>
          </w:divBdr>
        </w:div>
        <w:div w:id="1025861049">
          <w:marLeft w:val="0"/>
          <w:marRight w:val="0"/>
          <w:marTop w:val="0"/>
          <w:marBottom w:val="0"/>
          <w:divBdr>
            <w:top w:val="none" w:sz="0" w:space="0" w:color="auto"/>
            <w:left w:val="none" w:sz="0" w:space="0" w:color="auto"/>
            <w:bottom w:val="none" w:sz="0" w:space="0" w:color="auto"/>
            <w:right w:val="none" w:sz="0" w:space="0" w:color="auto"/>
          </w:divBdr>
        </w:div>
        <w:div w:id="1082023721">
          <w:marLeft w:val="0"/>
          <w:marRight w:val="0"/>
          <w:marTop w:val="0"/>
          <w:marBottom w:val="0"/>
          <w:divBdr>
            <w:top w:val="none" w:sz="0" w:space="0" w:color="auto"/>
            <w:left w:val="none" w:sz="0" w:space="0" w:color="auto"/>
            <w:bottom w:val="none" w:sz="0" w:space="0" w:color="auto"/>
            <w:right w:val="none" w:sz="0" w:space="0" w:color="auto"/>
          </w:divBdr>
        </w:div>
        <w:div w:id="1255674095">
          <w:marLeft w:val="0"/>
          <w:marRight w:val="0"/>
          <w:marTop w:val="0"/>
          <w:marBottom w:val="0"/>
          <w:divBdr>
            <w:top w:val="none" w:sz="0" w:space="0" w:color="auto"/>
            <w:left w:val="none" w:sz="0" w:space="0" w:color="auto"/>
            <w:bottom w:val="none" w:sz="0" w:space="0" w:color="auto"/>
            <w:right w:val="none" w:sz="0" w:space="0" w:color="auto"/>
          </w:divBdr>
        </w:div>
        <w:div w:id="1326859008">
          <w:marLeft w:val="0"/>
          <w:marRight w:val="0"/>
          <w:marTop w:val="0"/>
          <w:marBottom w:val="0"/>
          <w:divBdr>
            <w:top w:val="none" w:sz="0" w:space="0" w:color="auto"/>
            <w:left w:val="none" w:sz="0" w:space="0" w:color="auto"/>
            <w:bottom w:val="none" w:sz="0" w:space="0" w:color="auto"/>
            <w:right w:val="none" w:sz="0" w:space="0" w:color="auto"/>
          </w:divBdr>
        </w:div>
        <w:div w:id="1364938551">
          <w:marLeft w:val="0"/>
          <w:marRight w:val="0"/>
          <w:marTop w:val="0"/>
          <w:marBottom w:val="0"/>
          <w:divBdr>
            <w:top w:val="none" w:sz="0" w:space="0" w:color="auto"/>
            <w:left w:val="none" w:sz="0" w:space="0" w:color="auto"/>
            <w:bottom w:val="none" w:sz="0" w:space="0" w:color="auto"/>
            <w:right w:val="none" w:sz="0" w:space="0" w:color="auto"/>
          </w:divBdr>
        </w:div>
        <w:div w:id="1399091782">
          <w:marLeft w:val="0"/>
          <w:marRight w:val="0"/>
          <w:marTop w:val="0"/>
          <w:marBottom w:val="0"/>
          <w:divBdr>
            <w:top w:val="none" w:sz="0" w:space="0" w:color="auto"/>
            <w:left w:val="none" w:sz="0" w:space="0" w:color="auto"/>
            <w:bottom w:val="none" w:sz="0" w:space="0" w:color="auto"/>
            <w:right w:val="none" w:sz="0" w:space="0" w:color="auto"/>
          </w:divBdr>
        </w:div>
        <w:div w:id="1436099605">
          <w:marLeft w:val="0"/>
          <w:marRight w:val="0"/>
          <w:marTop w:val="0"/>
          <w:marBottom w:val="0"/>
          <w:divBdr>
            <w:top w:val="none" w:sz="0" w:space="0" w:color="auto"/>
            <w:left w:val="none" w:sz="0" w:space="0" w:color="auto"/>
            <w:bottom w:val="none" w:sz="0" w:space="0" w:color="auto"/>
            <w:right w:val="none" w:sz="0" w:space="0" w:color="auto"/>
          </w:divBdr>
        </w:div>
        <w:div w:id="1747150105">
          <w:marLeft w:val="0"/>
          <w:marRight w:val="0"/>
          <w:marTop w:val="0"/>
          <w:marBottom w:val="0"/>
          <w:divBdr>
            <w:top w:val="none" w:sz="0" w:space="0" w:color="auto"/>
            <w:left w:val="none" w:sz="0" w:space="0" w:color="auto"/>
            <w:bottom w:val="none" w:sz="0" w:space="0" w:color="auto"/>
            <w:right w:val="none" w:sz="0" w:space="0" w:color="auto"/>
          </w:divBdr>
        </w:div>
        <w:div w:id="2097746389">
          <w:marLeft w:val="0"/>
          <w:marRight w:val="0"/>
          <w:marTop w:val="0"/>
          <w:marBottom w:val="0"/>
          <w:divBdr>
            <w:top w:val="none" w:sz="0" w:space="0" w:color="auto"/>
            <w:left w:val="none" w:sz="0" w:space="0" w:color="auto"/>
            <w:bottom w:val="none" w:sz="0" w:space="0" w:color="auto"/>
            <w:right w:val="none" w:sz="0" w:space="0" w:color="auto"/>
          </w:divBdr>
        </w:div>
        <w:div w:id="2115056248">
          <w:marLeft w:val="0"/>
          <w:marRight w:val="0"/>
          <w:marTop w:val="0"/>
          <w:marBottom w:val="0"/>
          <w:divBdr>
            <w:top w:val="none" w:sz="0" w:space="0" w:color="auto"/>
            <w:left w:val="none" w:sz="0" w:space="0" w:color="auto"/>
            <w:bottom w:val="none" w:sz="0" w:space="0" w:color="auto"/>
            <w:right w:val="none" w:sz="0" w:space="0" w:color="auto"/>
          </w:divBdr>
        </w:div>
      </w:divsChild>
    </w:div>
    <w:div w:id="482240549">
      <w:bodyDiv w:val="1"/>
      <w:marLeft w:val="0"/>
      <w:marRight w:val="0"/>
      <w:marTop w:val="0"/>
      <w:marBottom w:val="0"/>
      <w:divBdr>
        <w:top w:val="none" w:sz="0" w:space="0" w:color="auto"/>
        <w:left w:val="none" w:sz="0" w:space="0" w:color="auto"/>
        <w:bottom w:val="none" w:sz="0" w:space="0" w:color="auto"/>
        <w:right w:val="none" w:sz="0" w:space="0" w:color="auto"/>
      </w:divBdr>
    </w:div>
    <w:div w:id="491406913">
      <w:bodyDiv w:val="1"/>
      <w:marLeft w:val="0"/>
      <w:marRight w:val="0"/>
      <w:marTop w:val="0"/>
      <w:marBottom w:val="0"/>
      <w:divBdr>
        <w:top w:val="none" w:sz="0" w:space="0" w:color="auto"/>
        <w:left w:val="none" w:sz="0" w:space="0" w:color="auto"/>
        <w:bottom w:val="none" w:sz="0" w:space="0" w:color="auto"/>
        <w:right w:val="none" w:sz="0" w:space="0" w:color="auto"/>
      </w:divBdr>
    </w:div>
    <w:div w:id="515774855">
      <w:bodyDiv w:val="1"/>
      <w:marLeft w:val="0"/>
      <w:marRight w:val="0"/>
      <w:marTop w:val="0"/>
      <w:marBottom w:val="0"/>
      <w:divBdr>
        <w:top w:val="none" w:sz="0" w:space="0" w:color="auto"/>
        <w:left w:val="none" w:sz="0" w:space="0" w:color="auto"/>
        <w:bottom w:val="none" w:sz="0" w:space="0" w:color="auto"/>
        <w:right w:val="none" w:sz="0" w:space="0" w:color="auto"/>
      </w:divBdr>
      <w:divsChild>
        <w:div w:id="815731115">
          <w:marLeft w:val="0"/>
          <w:marRight w:val="0"/>
          <w:marTop w:val="0"/>
          <w:marBottom w:val="0"/>
          <w:divBdr>
            <w:top w:val="none" w:sz="0" w:space="0" w:color="auto"/>
            <w:left w:val="none" w:sz="0" w:space="0" w:color="auto"/>
            <w:bottom w:val="none" w:sz="0" w:space="0" w:color="auto"/>
            <w:right w:val="none" w:sz="0" w:space="0" w:color="auto"/>
          </w:divBdr>
        </w:div>
        <w:div w:id="1196230496">
          <w:marLeft w:val="0"/>
          <w:marRight w:val="0"/>
          <w:marTop w:val="0"/>
          <w:marBottom w:val="0"/>
          <w:divBdr>
            <w:top w:val="none" w:sz="0" w:space="0" w:color="auto"/>
            <w:left w:val="none" w:sz="0" w:space="0" w:color="auto"/>
            <w:bottom w:val="none" w:sz="0" w:space="0" w:color="auto"/>
            <w:right w:val="none" w:sz="0" w:space="0" w:color="auto"/>
          </w:divBdr>
        </w:div>
        <w:div w:id="2096315777">
          <w:marLeft w:val="0"/>
          <w:marRight w:val="0"/>
          <w:marTop w:val="0"/>
          <w:marBottom w:val="0"/>
          <w:divBdr>
            <w:top w:val="none" w:sz="0" w:space="0" w:color="auto"/>
            <w:left w:val="none" w:sz="0" w:space="0" w:color="auto"/>
            <w:bottom w:val="none" w:sz="0" w:space="0" w:color="auto"/>
            <w:right w:val="none" w:sz="0" w:space="0" w:color="auto"/>
          </w:divBdr>
        </w:div>
      </w:divsChild>
    </w:div>
    <w:div w:id="536744312">
      <w:bodyDiv w:val="1"/>
      <w:marLeft w:val="0"/>
      <w:marRight w:val="0"/>
      <w:marTop w:val="0"/>
      <w:marBottom w:val="0"/>
      <w:divBdr>
        <w:top w:val="none" w:sz="0" w:space="0" w:color="auto"/>
        <w:left w:val="none" w:sz="0" w:space="0" w:color="auto"/>
        <w:bottom w:val="none" w:sz="0" w:space="0" w:color="auto"/>
        <w:right w:val="none" w:sz="0" w:space="0" w:color="auto"/>
      </w:divBdr>
    </w:div>
    <w:div w:id="554658965">
      <w:bodyDiv w:val="1"/>
      <w:marLeft w:val="0"/>
      <w:marRight w:val="0"/>
      <w:marTop w:val="0"/>
      <w:marBottom w:val="0"/>
      <w:divBdr>
        <w:top w:val="none" w:sz="0" w:space="0" w:color="auto"/>
        <w:left w:val="none" w:sz="0" w:space="0" w:color="auto"/>
        <w:bottom w:val="none" w:sz="0" w:space="0" w:color="auto"/>
        <w:right w:val="none" w:sz="0" w:space="0" w:color="auto"/>
      </w:divBdr>
      <w:divsChild>
        <w:div w:id="502934292">
          <w:marLeft w:val="0"/>
          <w:marRight w:val="0"/>
          <w:marTop w:val="240"/>
          <w:marBottom w:val="240"/>
          <w:divBdr>
            <w:top w:val="none" w:sz="0" w:space="0" w:color="auto"/>
            <w:left w:val="none" w:sz="0" w:space="0" w:color="auto"/>
            <w:bottom w:val="none" w:sz="0" w:space="0" w:color="auto"/>
            <w:right w:val="none" w:sz="0" w:space="0" w:color="auto"/>
          </w:divBdr>
        </w:div>
      </w:divsChild>
    </w:div>
    <w:div w:id="558395907">
      <w:bodyDiv w:val="1"/>
      <w:marLeft w:val="0"/>
      <w:marRight w:val="0"/>
      <w:marTop w:val="0"/>
      <w:marBottom w:val="0"/>
      <w:divBdr>
        <w:top w:val="none" w:sz="0" w:space="0" w:color="auto"/>
        <w:left w:val="none" w:sz="0" w:space="0" w:color="auto"/>
        <w:bottom w:val="none" w:sz="0" w:space="0" w:color="auto"/>
        <w:right w:val="none" w:sz="0" w:space="0" w:color="auto"/>
      </w:divBdr>
    </w:div>
    <w:div w:id="559249463">
      <w:bodyDiv w:val="1"/>
      <w:marLeft w:val="0"/>
      <w:marRight w:val="0"/>
      <w:marTop w:val="0"/>
      <w:marBottom w:val="0"/>
      <w:divBdr>
        <w:top w:val="none" w:sz="0" w:space="0" w:color="auto"/>
        <w:left w:val="none" w:sz="0" w:space="0" w:color="auto"/>
        <w:bottom w:val="none" w:sz="0" w:space="0" w:color="auto"/>
        <w:right w:val="none" w:sz="0" w:space="0" w:color="auto"/>
      </w:divBdr>
      <w:divsChild>
        <w:div w:id="418479595">
          <w:marLeft w:val="0"/>
          <w:marRight w:val="0"/>
          <w:marTop w:val="0"/>
          <w:marBottom w:val="0"/>
          <w:divBdr>
            <w:top w:val="none" w:sz="0" w:space="0" w:color="auto"/>
            <w:left w:val="none" w:sz="0" w:space="0" w:color="auto"/>
            <w:bottom w:val="none" w:sz="0" w:space="0" w:color="auto"/>
            <w:right w:val="none" w:sz="0" w:space="0" w:color="auto"/>
          </w:divBdr>
        </w:div>
        <w:div w:id="927426502">
          <w:marLeft w:val="0"/>
          <w:marRight w:val="0"/>
          <w:marTop w:val="0"/>
          <w:marBottom w:val="0"/>
          <w:divBdr>
            <w:top w:val="none" w:sz="0" w:space="0" w:color="auto"/>
            <w:left w:val="none" w:sz="0" w:space="0" w:color="auto"/>
            <w:bottom w:val="none" w:sz="0" w:space="0" w:color="auto"/>
            <w:right w:val="none" w:sz="0" w:space="0" w:color="auto"/>
          </w:divBdr>
        </w:div>
        <w:div w:id="1039204623">
          <w:marLeft w:val="0"/>
          <w:marRight w:val="0"/>
          <w:marTop w:val="0"/>
          <w:marBottom w:val="0"/>
          <w:divBdr>
            <w:top w:val="none" w:sz="0" w:space="0" w:color="auto"/>
            <w:left w:val="none" w:sz="0" w:space="0" w:color="auto"/>
            <w:bottom w:val="none" w:sz="0" w:space="0" w:color="auto"/>
            <w:right w:val="none" w:sz="0" w:space="0" w:color="auto"/>
          </w:divBdr>
        </w:div>
        <w:div w:id="1066415169">
          <w:marLeft w:val="0"/>
          <w:marRight w:val="0"/>
          <w:marTop w:val="0"/>
          <w:marBottom w:val="0"/>
          <w:divBdr>
            <w:top w:val="none" w:sz="0" w:space="0" w:color="auto"/>
            <w:left w:val="none" w:sz="0" w:space="0" w:color="auto"/>
            <w:bottom w:val="none" w:sz="0" w:space="0" w:color="auto"/>
            <w:right w:val="none" w:sz="0" w:space="0" w:color="auto"/>
          </w:divBdr>
        </w:div>
        <w:div w:id="1167137447">
          <w:marLeft w:val="0"/>
          <w:marRight w:val="0"/>
          <w:marTop w:val="0"/>
          <w:marBottom w:val="0"/>
          <w:divBdr>
            <w:top w:val="none" w:sz="0" w:space="0" w:color="auto"/>
            <w:left w:val="none" w:sz="0" w:space="0" w:color="auto"/>
            <w:bottom w:val="none" w:sz="0" w:space="0" w:color="auto"/>
            <w:right w:val="none" w:sz="0" w:space="0" w:color="auto"/>
          </w:divBdr>
        </w:div>
        <w:div w:id="1545753477">
          <w:marLeft w:val="0"/>
          <w:marRight w:val="0"/>
          <w:marTop w:val="0"/>
          <w:marBottom w:val="0"/>
          <w:divBdr>
            <w:top w:val="none" w:sz="0" w:space="0" w:color="auto"/>
            <w:left w:val="none" w:sz="0" w:space="0" w:color="auto"/>
            <w:bottom w:val="none" w:sz="0" w:space="0" w:color="auto"/>
            <w:right w:val="none" w:sz="0" w:space="0" w:color="auto"/>
          </w:divBdr>
        </w:div>
      </w:divsChild>
    </w:div>
    <w:div w:id="572157351">
      <w:bodyDiv w:val="1"/>
      <w:marLeft w:val="0"/>
      <w:marRight w:val="0"/>
      <w:marTop w:val="0"/>
      <w:marBottom w:val="0"/>
      <w:divBdr>
        <w:top w:val="none" w:sz="0" w:space="0" w:color="auto"/>
        <w:left w:val="none" w:sz="0" w:space="0" w:color="auto"/>
        <w:bottom w:val="none" w:sz="0" w:space="0" w:color="auto"/>
        <w:right w:val="none" w:sz="0" w:space="0" w:color="auto"/>
      </w:divBdr>
    </w:div>
    <w:div w:id="585458730">
      <w:bodyDiv w:val="1"/>
      <w:marLeft w:val="0"/>
      <w:marRight w:val="0"/>
      <w:marTop w:val="0"/>
      <w:marBottom w:val="0"/>
      <w:divBdr>
        <w:top w:val="none" w:sz="0" w:space="0" w:color="auto"/>
        <w:left w:val="none" w:sz="0" w:space="0" w:color="auto"/>
        <w:bottom w:val="none" w:sz="0" w:space="0" w:color="auto"/>
        <w:right w:val="none" w:sz="0" w:space="0" w:color="auto"/>
      </w:divBdr>
    </w:div>
    <w:div w:id="595331169">
      <w:bodyDiv w:val="1"/>
      <w:marLeft w:val="0"/>
      <w:marRight w:val="0"/>
      <w:marTop w:val="0"/>
      <w:marBottom w:val="0"/>
      <w:divBdr>
        <w:top w:val="none" w:sz="0" w:space="0" w:color="auto"/>
        <w:left w:val="none" w:sz="0" w:space="0" w:color="auto"/>
        <w:bottom w:val="none" w:sz="0" w:space="0" w:color="auto"/>
        <w:right w:val="none" w:sz="0" w:space="0" w:color="auto"/>
      </w:divBdr>
      <w:divsChild>
        <w:div w:id="246305359">
          <w:marLeft w:val="1166"/>
          <w:marRight w:val="0"/>
          <w:marTop w:val="0"/>
          <w:marBottom w:val="0"/>
          <w:divBdr>
            <w:top w:val="none" w:sz="0" w:space="0" w:color="auto"/>
            <w:left w:val="none" w:sz="0" w:space="0" w:color="auto"/>
            <w:bottom w:val="none" w:sz="0" w:space="0" w:color="auto"/>
            <w:right w:val="none" w:sz="0" w:space="0" w:color="auto"/>
          </w:divBdr>
        </w:div>
        <w:div w:id="310718441">
          <w:marLeft w:val="1166"/>
          <w:marRight w:val="0"/>
          <w:marTop w:val="0"/>
          <w:marBottom w:val="0"/>
          <w:divBdr>
            <w:top w:val="none" w:sz="0" w:space="0" w:color="auto"/>
            <w:left w:val="none" w:sz="0" w:space="0" w:color="auto"/>
            <w:bottom w:val="none" w:sz="0" w:space="0" w:color="auto"/>
            <w:right w:val="none" w:sz="0" w:space="0" w:color="auto"/>
          </w:divBdr>
        </w:div>
        <w:div w:id="442531691">
          <w:marLeft w:val="446"/>
          <w:marRight w:val="0"/>
          <w:marTop w:val="0"/>
          <w:marBottom w:val="0"/>
          <w:divBdr>
            <w:top w:val="none" w:sz="0" w:space="0" w:color="auto"/>
            <w:left w:val="none" w:sz="0" w:space="0" w:color="auto"/>
            <w:bottom w:val="none" w:sz="0" w:space="0" w:color="auto"/>
            <w:right w:val="none" w:sz="0" w:space="0" w:color="auto"/>
          </w:divBdr>
        </w:div>
        <w:div w:id="719285943">
          <w:marLeft w:val="1166"/>
          <w:marRight w:val="0"/>
          <w:marTop w:val="0"/>
          <w:marBottom w:val="0"/>
          <w:divBdr>
            <w:top w:val="none" w:sz="0" w:space="0" w:color="auto"/>
            <w:left w:val="none" w:sz="0" w:space="0" w:color="auto"/>
            <w:bottom w:val="none" w:sz="0" w:space="0" w:color="auto"/>
            <w:right w:val="none" w:sz="0" w:space="0" w:color="auto"/>
          </w:divBdr>
        </w:div>
        <w:div w:id="842016101">
          <w:marLeft w:val="1166"/>
          <w:marRight w:val="0"/>
          <w:marTop w:val="0"/>
          <w:marBottom w:val="0"/>
          <w:divBdr>
            <w:top w:val="none" w:sz="0" w:space="0" w:color="auto"/>
            <w:left w:val="none" w:sz="0" w:space="0" w:color="auto"/>
            <w:bottom w:val="none" w:sz="0" w:space="0" w:color="auto"/>
            <w:right w:val="none" w:sz="0" w:space="0" w:color="auto"/>
          </w:divBdr>
        </w:div>
        <w:div w:id="1550189590">
          <w:marLeft w:val="1166"/>
          <w:marRight w:val="0"/>
          <w:marTop w:val="0"/>
          <w:marBottom w:val="0"/>
          <w:divBdr>
            <w:top w:val="none" w:sz="0" w:space="0" w:color="auto"/>
            <w:left w:val="none" w:sz="0" w:space="0" w:color="auto"/>
            <w:bottom w:val="none" w:sz="0" w:space="0" w:color="auto"/>
            <w:right w:val="none" w:sz="0" w:space="0" w:color="auto"/>
          </w:divBdr>
        </w:div>
        <w:div w:id="1908491179">
          <w:marLeft w:val="1166"/>
          <w:marRight w:val="0"/>
          <w:marTop w:val="0"/>
          <w:marBottom w:val="0"/>
          <w:divBdr>
            <w:top w:val="none" w:sz="0" w:space="0" w:color="auto"/>
            <w:left w:val="none" w:sz="0" w:space="0" w:color="auto"/>
            <w:bottom w:val="none" w:sz="0" w:space="0" w:color="auto"/>
            <w:right w:val="none" w:sz="0" w:space="0" w:color="auto"/>
          </w:divBdr>
        </w:div>
        <w:div w:id="2119716406">
          <w:marLeft w:val="446"/>
          <w:marRight w:val="0"/>
          <w:marTop w:val="0"/>
          <w:marBottom w:val="0"/>
          <w:divBdr>
            <w:top w:val="none" w:sz="0" w:space="0" w:color="auto"/>
            <w:left w:val="none" w:sz="0" w:space="0" w:color="auto"/>
            <w:bottom w:val="none" w:sz="0" w:space="0" w:color="auto"/>
            <w:right w:val="none" w:sz="0" w:space="0" w:color="auto"/>
          </w:divBdr>
        </w:div>
      </w:divsChild>
    </w:div>
    <w:div w:id="607471901">
      <w:bodyDiv w:val="1"/>
      <w:marLeft w:val="0"/>
      <w:marRight w:val="0"/>
      <w:marTop w:val="0"/>
      <w:marBottom w:val="0"/>
      <w:divBdr>
        <w:top w:val="none" w:sz="0" w:space="0" w:color="auto"/>
        <w:left w:val="none" w:sz="0" w:space="0" w:color="auto"/>
        <w:bottom w:val="none" w:sz="0" w:space="0" w:color="auto"/>
        <w:right w:val="none" w:sz="0" w:space="0" w:color="auto"/>
      </w:divBdr>
    </w:div>
    <w:div w:id="618486684">
      <w:bodyDiv w:val="1"/>
      <w:marLeft w:val="0"/>
      <w:marRight w:val="0"/>
      <w:marTop w:val="0"/>
      <w:marBottom w:val="0"/>
      <w:divBdr>
        <w:top w:val="none" w:sz="0" w:space="0" w:color="auto"/>
        <w:left w:val="none" w:sz="0" w:space="0" w:color="auto"/>
        <w:bottom w:val="none" w:sz="0" w:space="0" w:color="auto"/>
        <w:right w:val="none" w:sz="0" w:space="0" w:color="auto"/>
      </w:divBdr>
      <w:divsChild>
        <w:div w:id="24793678">
          <w:marLeft w:val="0"/>
          <w:marRight w:val="0"/>
          <w:marTop w:val="0"/>
          <w:marBottom w:val="0"/>
          <w:divBdr>
            <w:top w:val="none" w:sz="0" w:space="0" w:color="auto"/>
            <w:left w:val="none" w:sz="0" w:space="0" w:color="auto"/>
            <w:bottom w:val="none" w:sz="0" w:space="0" w:color="auto"/>
            <w:right w:val="none" w:sz="0" w:space="0" w:color="auto"/>
          </w:divBdr>
        </w:div>
        <w:div w:id="74741850">
          <w:marLeft w:val="0"/>
          <w:marRight w:val="0"/>
          <w:marTop w:val="0"/>
          <w:marBottom w:val="0"/>
          <w:divBdr>
            <w:top w:val="none" w:sz="0" w:space="0" w:color="auto"/>
            <w:left w:val="none" w:sz="0" w:space="0" w:color="auto"/>
            <w:bottom w:val="none" w:sz="0" w:space="0" w:color="auto"/>
            <w:right w:val="none" w:sz="0" w:space="0" w:color="auto"/>
          </w:divBdr>
        </w:div>
        <w:div w:id="1028292163">
          <w:marLeft w:val="0"/>
          <w:marRight w:val="0"/>
          <w:marTop w:val="0"/>
          <w:marBottom w:val="0"/>
          <w:divBdr>
            <w:top w:val="none" w:sz="0" w:space="0" w:color="auto"/>
            <w:left w:val="none" w:sz="0" w:space="0" w:color="auto"/>
            <w:bottom w:val="none" w:sz="0" w:space="0" w:color="auto"/>
            <w:right w:val="none" w:sz="0" w:space="0" w:color="auto"/>
          </w:divBdr>
        </w:div>
        <w:div w:id="1102997473">
          <w:marLeft w:val="0"/>
          <w:marRight w:val="0"/>
          <w:marTop w:val="0"/>
          <w:marBottom w:val="0"/>
          <w:divBdr>
            <w:top w:val="none" w:sz="0" w:space="0" w:color="auto"/>
            <w:left w:val="none" w:sz="0" w:space="0" w:color="auto"/>
            <w:bottom w:val="none" w:sz="0" w:space="0" w:color="auto"/>
            <w:right w:val="none" w:sz="0" w:space="0" w:color="auto"/>
          </w:divBdr>
        </w:div>
      </w:divsChild>
    </w:div>
    <w:div w:id="628903405">
      <w:bodyDiv w:val="1"/>
      <w:marLeft w:val="0"/>
      <w:marRight w:val="0"/>
      <w:marTop w:val="0"/>
      <w:marBottom w:val="0"/>
      <w:divBdr>
        <w:top w:val="none" w:sz="0" w:space="0" w:color="auto"/>
        <w:left w:val="none" w:sz="0" w:space="0" w:color="auto"/>
        <w:bottom w:val="none" w:sz="0" w:space="0" w:color="auto"/>
        <w:right w:val="none" w:sz="0" w:space="0" w:color="auto"/>
      </w:divBdr>
      <w:divsChild>
        <w:div w:id="122238459">
          <w:marLeft w:val="1166"/>
          <w:marRight w:val="0"/>
          <w:marTop w:val="0"/>
          <w:marBottom w:val="0"/>
          <w:divBdr>
            <w:top w:val="none" w:sz="0" w:space="0" w:color="auto"/>
            <w:left w:val="none" w:sz="0" w:space="0" w:color="auto"/>
            <w:bottom w:val="none" w:sz="0" w:space="0" w:color="auto"/>
            <w:right w:val="none" w:sz="0" w:space="0" w:color="auto"/>
          </w:divBdr>
        </w:div>
        <w:div w:id="1124620916">
          <w:marLeft w:val="446"/>
          <w:marRight w:val="0"/>
          <w:marTop w:val="0"/>
          <w:marBottom w:val="0"/>
          <w:divBdr>
            <w:top w:val="none" w:sz="0" w:space="0" w:color="auto"/>
            <w:left w:val="none" w:sz="0" w:space="0" w:color="auto"/>
            <w:bottom w:val="none" w:sz="0" w:space="0" w:color="auto"/>
            <w:right w:val="none" w:sz="0" w:space="0" w:color="auto"/>
          </w:divBdr>
        </w:div>
        <w:div w:id="1338386797">
          <w:marLeft w:val="1166"/>
          <w:marRight w:val="0"/>
          <w:marTop w:val="0"/>
          <w:marBottom w:val="0"/>
          <w:divBdr>
            <w:top w:val="none" w:sz="0" w:space="0" w:color="auto"/>
            <w:left w:val="none" w:sz="0" w:space="0" w:color="auto"/>
            <w:bottom w:val="none" w:sz="0" w:space="0" w:color="auto"/>
            <w:right w:val="none" w:sz="0" w:space="0" w:color="auto"/>
          </w:divBdr>
        </w:div>
        <w:div w:id="1355427375">
          <w:marLeft w:val="446"/>
          <w:marRight w:val="0"/>
          <w:marTop w:val="0"/>
          <w:marBottom w:val="0"/>
          <w:divBdr>
            <w:top w:val="none" w:sz="0" w:space="0" w:color="auto"/>
            <w:left w:val="none" w:sz="0" w:space="0" w:color="auto"/>
            <w:bottom w:val="none" w:sz="0" w:space="0" w:color="auto"/>
            <w:right w:val="none" w:sz="0" w:space="0" w:color="auto"/>
          </w:divBdr>
        </w:div>
        <w:div w:id="1610314082">
          <w:marLeft w:val="1166"/>
          <w:marRight w:val="0"/>
          <w:marTop w:val="0"/>
          <w:marBottom w:val="0"/>
          <w:divBdr>
            <w:top w:val="none" w:sz="0" w:space="0" w:color="auto"/>
            <w:left w:val="none" w:sz="0" w:space="0" w:color="auto"/>
            <w:bottom w:val="none" w:sz="0" w:space="0" w:color="auto"/>
            <w:right w:val="none" w:sz="0" w:space="0" w:color="auto"/>
          </w:divBdr>
        </w:div>
        <w:div w:id="1677533527">
          <w:marLeft w:val="1166"/>
          <w:marRight w:val="0"/>
          <w:marTop w:val="0"/>
          <w:marBottom w:val="0"/>
          <w:divBdr>
            <w:top w:val="none" w:sz="0" w:space="0" w:color="auto"/>
            <w:left w:val="none" w:sz="0" w:space="0" w:color="auto"/>
            <w:bottom w:val="none" w:sz="0" w:space="0" w:color="auto"/>
            <w:right w:val="none" w:sz="0" w:space="0" w:color="auto"/>
          </w:divBdr>
        </w:div>
        <w:div w:id="1729913796">
          <w:marLeft w:val="446"/>
          <w:marRight w:val="0"/>
          <w:marTop w:val="0"/>
          <w:marBottom w:val="0"/>
          <w:divBdr>
            <w:top w:val="none" w:sz="0" w:space="0" w:color="auto"/>
            <w:left w:val="none" w:sz="0" w:space="0" w:color="auto"/>
            <w:bottom w:val="none" w:sz="0" w:space="0" w:color="auto"/>
            <w:right w:val="none" w:sz="0" w:space="0" w:color="auto"/>
          </w:divBdr>
        </w:div>
      </w:divsChild>
    </w:div>
    <w:div w:id="634144271">
      <w:bodyDiv w:val="1"/>
      <w:marLeft w:val="0"/>
      <w:marRight w:val="0"/>
      <w:marTop w:val="0"/>
      <w:marBottom w:val="0"/>
      <w:divBdr>
        <w:top w:val="none" w:sz="0" w:space="0" w:color="auto"/>
        <w:left w:val="none" w:sz="0" w:space="0" w:color="auto"/>
        <w:bottom w:val="none" w:sz="0" w:space="0" w:color="auto"/>
        <w:right w:val="none" w:sz="0" w:space="0" w:color="auto"/>
      </w:divBdr>
    </w:div>
    <w:div w:id="646741981">
      <w:bodyDiv w:val="1"/>
      <w:marLeft w:val="0"/>
      <w:marRight w:val="0"/>
      <w:marTop w:val="0"/>
      <w:marBottom w:val="0"/>
      <w:divBdr>
        <w:top w:val="none" w:sz="0" w:space="0" w:color="auto"/>
        <w:left w:val="none" w:sz="0" w:space="0" w:color="auto"/>
        <w:bottom w:val="none" w:sz="0" w:space="0" w:color="auto"/>
        <w:right w:val="none" w:sz="0" w:space="0" w:color="auto"/>
      </w:divBdr>
      <w:divsChild>
        <w:div w:id="54935835">
          <w:marLeft w:val="0"/>
          <w:marRight w:val="0"/>
          <w:marTop w:val="0"/>
          <w:marBottom w:val="0"/>
          <w:divBdr>
            <w:top w:val="none" w:sz="0" w:space="0" w:color="auto"/>
            <w:left w:val="none" w:sz="0" w:space="0" w:color="auto"/>
            <w:bottom w:val="none" w:sz="0" w:space="0" w:color="auto"/>
            <w:right w:val="none" w:sz="0" w:space="0" w:color="auto"/>
          </w:divBdr>
        </w:div>
        <w:div w:id="113984295">
          <w:marLeft w:val="0"/>
          <w:marRight w:val="0"/>
          <w:marTop w:val="0"/>
          <w:marBottom w:val="0"/>
          <w:divBdr>
            <w:top w:val="none" w:sz="0" w:space="0" w:color="auto"/>
            <w:left w:val="none" w:sz="0" w:space="0" w:color="auto"/>
            <w:bottom w:val="none" w:sz="0" w:space="0" w:color="auto"/>
            <w:right w:val="none" w:sz="0" w:space="0" w:color="auto"/>
          </w:divBdr>
        </w:div>
        <w:div w:id="195047932">
          <w:marLeft w:val="0"/>
          <w:marRight w:val="0"/>
          <w:marTop w:val="0"/>
          <w:marBottom w:val="0"/>
          <w:divBdr>
            <w:top w:val="none" w:sz="0" w:space="0" w:color="auto"/>
            <w:left w:val="none" w:sz="0" w:space="0" w:color="auto"/>
            <w:bottom w:val="none" w:sz="0" w:space="0" w:color="auto"/>
            <w:right w:val="none" w:sz="0" w:space="0" w:color="auto"/>
          </w:divBdr>
        </w:div>
        <w:div w:id="209726281">
          <w:marLeft w:val="0"/>
          <w:marRight w:val="0"/>
          <w:marTop w:val="0"/>
          <w:marBottom w:val="0"/>
          <w:divBdr>
            <w:top w:val="none" w:sz="0" w:space="0" w:color="auto"/>
            <w:left w:val="none" w:sz="0" w:space="0" w:color="auto"/>
            <w:bottom w:val="none" w:sz="0" w:space="0" w:color="auto"/>
            <w:right w:val="none" w:sz="0" w:space="0" w:color="auto"/>
          </w:divBdr>
        </w:div>
        <w:div w:id="237371655">
          <w:marLeft w:val="0"/>
          <w:marRight w:val="0"/>
          <w:marTop w:val="0"/>
          <w:marBottom w:val="0"/>
          <w:divBdr>
            <w:top w:val="none" w:sz="0" w:space="0" w:color="auto"/>
            <w:left w:val="none" w:sz="0" w:space="0" w:color="auto"/>
            <w:bottom w:val="none" w:sz="0" w:space="0" w:color="auto"/>
            <w:right w:val="none" w:sz="0" w:space="0" w:color="auto"/>
          </w:divBdr>
        </w:div>
        <w:div w:id="286395920">
          <w:marLeft w:val="0"/>
          <w:marRight w:val="0"/>
          <w:marTop w:val="0"/>
          <w:marBottom w:val="0"/>
          <w:divBdr>
            <w:top w:val="none" w:sz="0" w:space="0" w:color="auto"/>
            <w:left w:val="none" w:sz="0" w:space="0" w:color="auto"/>
            <w:bottom w:val="none" w:sz="0" w:space="0" w:color="auto"/>
            <w:right w:val="none" w:sz="0" w:space="0" w:color="auto"/>
          </w:divBdr>
        </w:div>
        <w:div w:id="320699499">
          <w:marLeft w:val="0"/>
          <w:marRight w:val="0"/>
          <w:marTop w:val="0"/>
          <w:marBottom w:val="0"/>
          <w:divBdr>
            <w:top w:val="none" w:sz="0" w:space="0" w:color="auto"/>
            <w:left w:val="none" w:sz="0" w:space="0" w:color="auto"/>
            <w:bottom w:val="none" w:sz="0" w:space="0" w:color="auto"/>
            <w:right w:val="none" w:sz="0" w:space="0" w:color="auto"/>
          </w:divBdr>
        </w:div>
        <w:div w:id="354312560">
          <w:marLeft w:val="0"/>
          <w:marRight w:val="0"/>
          <w:marTop w:val="0"/>
          <w:marBottom w:val="0"/>
          <w:divBdr>
            <w:top w:val="none" w:sz="0" w:space="0" w:color="auto"/>
            <w:left w:val="none" w:sz="0" w:space="0" w:color="auto"/>
            <w:bottom w:val="none" w:sz="0" w:space="0" w:color="auto"/>
            <w:right w:val="none" w:sz="0" w:space="0" w:color="auto"/>
          </w:divBdr>
        </w:div>
        <w:div w:id="355471397">
          <w:marLeft w:val="0"/>
          <w:marRight w:val="0"/>
          <w:marTop w:val="0"/>
          <w:marBottom w:val="0"/>
          <w:divBdr>
            <w:top w:val="none" w:sz="0" w:space="0" w:color="auto"/>
            <w:left w:val="none" w:sz="0" w:space="0" w:color="auto"/>
            <w:bottom w:val="none" w:sz="0" w:space="0" w:color="auto"/>
            <w:right w:val="none" w:sz="0" w:space="0" w:color="auto"/>
          </w:divBdr>
        </w:div>
        <w:div w:id="359012149">
          <w:marLeft w:val="0"/>
          <w:marRight w:val="0"/>
          <w:marTop w:val="0"/>
          <w:marBottom w:val="0"/>
          <w:divBdr>
            <w:top w:val="none" w:sz="0" w:space="0" w:color="auto"/>
            <w:left w:val="none" w:sz="0" w:space="0" w:color="auto"/>
            <w:bottom w:val="none" w:sz="0" w:space="0" w:color="auto"/>
            <w:right w:val="none" w:sz="0" w:space="0" w:color="auto"/>
          </w:divBdr>
        </w:div>
        <w:div w:id="366952033">
          <w:marLeft w:val="0"/>
          <w:marRight w:val="0"/>
          <w:marTop w:val="0"/>
          <w:marBottom w:val="0"/>
          <w:divBdr>
            <w:top w:val="none" w:sz="0" w:space="0" w:color="auto"/>
            <w:left w:val="none" w:sz="0" w:space="0" w:color="auto"/>
            <w:bottom w:val="none" w:sz="0" w:space="0" w:color="auto"/>
            <w:right w:val="none" w:sz="0" w:space="0" w:color="auto"/>
          </w:divBdr>
        </w:div>
        <w:div w:id="395864168">
          <w:marLeft w:val="0"/>
          <w:marRight w:val="0"/>
          <w:marTop w:val="0"/>
          <w:marBottom w:val="0"/>
          <w:divBdr>
            <w:top w:val="none" w:sz="0" w:space="0" w:color="auto"/>
            <w:left w:val="none" w:sz="0" w:space="0" w:color="auto"/>
            <w:bottom w:val="none" w:sz="0" w:space="0" w:color="auto"/>
            <w:right w:val="none" w:sz="0" w:space="0" w:color="auto"/>
          </w:divBdr>
        </w:div>
        <w:div w:id="411395992">
          <w:marLeft w:val="0"/>
          <w:marRight w:val="0"/>
          <w:marTop w:val="0"/>
          <w:marBottom w:val="0"/>
          <w:divBdr>
            <w:top w:val="none" w:sz="0" w:space="0" w:color="auto"/>
            <w:left w:val="none" w:sz="0" w:space="0" w:color="auto"/>
            <w:bottom w:val="none" w:sz="0" w:space="0" w:color="auto"/>
            <w:right w:val="none" w:sz="0" w:space="0" w:color="auto"/>
          </w:divBdr>
        </w:div>
        <w:div w:id="418253383">
          <w:marLeft w:val="0"/>
          <w:marRight w:val="0"/>
          <w:marTop w:val="0"/>
          <w:marBottom w:val="0"/>
          <w:divBdr>
            <w:top w:val="none" w:sz="0" w:space="0" w:color="auto"/>
            <w:left w:val="none" w:sz="0" w:space="0" w:color="auto"/>
            <w:bottom w:val="none" w:sz="0" w:space="0" w:color="auto"/>
            <w:right w:val="none" w:sz="0" w:space="0" w:color="auto"/>
          </w:divBdr>
        </w:div>
        <w:div w:id="455611200">
          <w:marLeft w:val="0"/>
          <w:marRight w:val="0"/>
          <w:marTop w:val="0"/>
          <w:marBottom w:val="0"/>
          <w:divBdr>
            <w:top w:val="none" w:sz="0" w:space="0" w:color="auto"/>
            <w:left w:val="none" w:sz="0" w:space="0" w:color="auto"/>
            <w:bottom w:val="none" w:sz="0" w:space="0" w:color="auto"/>
            <w:right w:val="none" w:sz="0" w:space="0" w:color="auto"/>
          </w:divBdr>
        </w:div>
        <w:div w:id="479466294">
          <w:marLeft w:val="0"/>
          <w:marRight w:val="0"/>
          <w:marTop w:val="0"/>
          <w:marBottom w:val="0"/>
          <w:divBdr>
            <w:top w:val="none" w:sz="0" w:space="0" w:color="auto"/>
            <w:left w:val="none" w:sz="0" w:space="0" w:color="auto"/>
            <w:bottom w:val="none" w:sz="0" w:space="0" w:color="auto"/>
            <w:right w:val="none" w:sz="0" w:space="0" w:color="auto"/>
          </w:divBdr>
        </w:div>
        <w:div w:id="503979630">
          <w:marLeft w:val="0"/>
          <w:marRight w:val="0"/>
          <w:marTop w:val="0"/>
          <w:marBottom w:val="0"/>
          <w:divBdr>
            <w:top w:val="none" w:sz="0" w:space="0" w:color="auto"/>
            <w:left w:val="none" w:sz="0" w:space="0" w:color="auto"/>
            <w:bottom w:val="none" w:sz="0" w:space="0" w:color="auto"/>
            <w:right w:val="none" w:sz="0" w:space="0" w:color="auto"/>
          </w:divBdr>
        </w:div>
        <w:div w:id="608708999">
          <w:marLeft w:val="0"/>
          <w:marRight w:val="0"/>
          <w:marTop w:val="0"/>
          <w:marBottom w:val="0"/>
          <w:divBdr>
            <w:top w:val="none" w:sz="0" w:space="0" w:color="auto"/>
            <w:left w:val="none" w:sz="0" w:space="0" w:color="auto"/>
            <w:bottom w:val="none" w:sz="0" w:space="0" w:color="auto"/>
            <w:right w:val="none" w:sz="0" w:space="0" w:color="auto"/>
          </w:divBdr>
        </w:div>
        <w:div w:id="627664770">
          <w:marLeft w:val="0"/>
          <w:marRight w:val="0"/>
          <w:marTop w:val="0"/>
          <w:marBottom w:val="0"/>
          <w:divBdr>
            <w:top w:val="none" w:sz="0" w:space="0" w:color="auto"/>
            <w:left w:val="none" w:sz="0" w:space="0" w:color="auto"/>
            <w:bottom w:val="none" w:sz="0" w:space="0" w:color="auto"/>
            <w:right w:val="none" w:sz="0" w:space="0" w:color="auto"/>
          </w:divBdr>
        </w:div>
        <w:div w:id="642853724">
          <w:marLeft w:val="0"/>
          <w:marRight w:val="0"/>
          <w:marTop w:val="0"/>
          <w:marBottom w:val="0"/>
          <w:divBdr>
            <w:top w:val="none" w:sz="0" w:space="0" w:color="auto"/>
            <w:left w:val="none" w:sz="0" w:space="0" w:color="auto"/>
            <w:bottom w:val="none" w:sz="0" w:space="0" w:color="auto"/>
            <w:right w:val="none" w:sz="0" w:space="0" w:color="auto"/>
          </w:divBdr>
        </w:div>
        <w:div w:id="642856414">
          <w:marLeft w:val="0"/>
          <w:marRight w:val="0"/>
          <w:marTop w:val="0"/>
          <w:marBottom w:val="0"/>
          <w:divBdr>
            <w:top w:val="none" w:sz="0" w:space="0" w:color="auto"/>
            <w:left w:val="none" w:sz="0" w:space="0" w:color="auto"/>
            <w:bottom w:val="none" w:sz="0" w:space="0" w:color="auto"/>
            <w:right w:val="none" w:sz="0" w:space="0" w:color="auto"/>
          </w:divBdr>
        </w:div>
        <w:div w:id="650065061">
          <w:marLeft w:val="0"/>
          <w:marRight w:val="0"/>
          <w:marTop w:val="0"/>
          <w:marBottom w:val="0"/>
          <w:divBdr>
            <w:top w:val="none" w:sz="0" w:space="0" w:color="auto"/>
            <w:left w:val="none" w:sz="0" w:space="0" w:color="auto"/>
            <w:bottom w:val="none" w:sz="0" w:space="0" w:color="auto"/>
            <w:right w:val="none" w:sz="0" w:space="0" w:color="auto"/>
          </w:divBdr>
        </w:div>
        <w:div w:id="651182099">
          <w:marLeft w:val="0"/>
          <w:marRight w:val="0"/>
          <w:marTop w:val="0"/>
          <w:marBottom w:val="0"/>
          <w:divBdr>
            <w:top w:val="none" w:sz="0" w:space="0" w:color="auto"/>
            <w:left w:val="none" w:sz="0" w:space="0" w:color="auto"/>
            <w:bottom w:val="none" w:sz="0" w:space="0" w:color="auto"/>
            <w:right w:val="none" w:sz="0" w:space="0" w:color="auto"/>
          </w:divBdr>
        </w:div>
        <w:div w:id="690568360">
          <w:marLeft w:val="0"/>
          <w:marRight w:val="0"/>
          <w:marTop w:val="0"/>
          <w:marBottom w:val="0"/>
          <w:divBdr>
            <w:top w:val="none" w:sz="0" w:space="0" w:color="auto"/>
            <w:left w:val="none" w:sz="0" w:space="0" w:color="auto"/>
            <w:bottom w:val="none" w:sz="0" w:space="0" w:color="auto"/>
            <w:right w:val="none" w:sz="0" w:space="0" w:color="auto"/>
          </w:divBdr>
        </w:div>
        <w:div w:id="696273425">
          <w:marLeft w:val="0"/>
          <w:marRight w:val="0"/>
          <w:marTop w:val="0"/>
          <w:marBottom w:val="0"/>
          <w:divBdr>
            <w:top w:val="none" w:sz="0" w:space="0" w:color="auto"/>
            <w:left w:val="none" w:sz="0" w:space="0" w:color="auto"/>
            <w:bottom w:val="none" w:sz="0" w:space="0" w:color="auto"/>
            <w:right w:val="none" w:sz="0" w:space="0" w:color="auto"/>
          </w:divBdr>
        </w:div>
        <w:div w:id="705102450">
          <w:marLeft w:val="0"/>
          <w:marRight w:val="0"/>
          <w:marTop w:val="0"/>
          <w:marBottom w:val="0"/>
          <w:divBdr>
            <w:top w:val="none" w:sz="0" w:space="0" w:color="auto"/>
            <w:left w:val="none" w:sz="0" w:space="0" w:color="auto"/>
            <w:bottom w:val="none" w:sz="0" w:space="0" w:color="auto"/>
            <w:right w:val="none" w:sz="0" w:space="0" w:color="auto"/>
          </w:divBdr>
        </w:div>
        <w:div w:id="717899746">
          <w:marLeft w:val="0"/>
          <w:marRight w:val="0"/>
          <w:marTop w:val="0"/>
          <w:marBottom w:val="0"/>
          <w:divBdr>
            <w:top w:val="none" w:sz="0" w:space="0" w:color="auto"/>
            <w:left w:val="none" w:sz="0" w:space="0" w:color="auto"/>
            <w:bottom w:val="none" w:sz="0" w:space="0" w:color="auto"/>
            <w:right w:val="none" w:sz="0" w:space="0" w:color="auto"/>
          </w:divBdr>
        </w:div>
        <w:div w:id="727917874">
          <w:marLeft w:val="0"/>
          <w:marRight w:val="0"/>
          <w:marTop w:val="0"/>
          <w:marBottom w:val="0"/>
          <w:divBdr>
            <w:top w:val="none" w:sz="0" w:space="0" w:color="auto"/>
            <w:left w:val="none" w:sz="0" w:space="0" w:color="auto"/>
            <w:bottom w:val="none" w:sz="0" w:space="0" w:color="auto"/>
            <w:right w:val="none" w:sz="0" w:space="0" w:color="auto"/>
          </w:divBdr>
        </w:div>
        <w:div w:id="751240383">
          <w:marLeft w:val="0"/>
          <w:marRight w:val="0"/>
          <w:marTop w:val="0"/>
          <w:marBottom w:val="0"/>
          <w:divBdr>
            <w:top w:val="none" w:sz="0" w:space="0" w:color="auto"/>
            <w:left w:val="none" w:sz="0" w:space="0" w:color="auto"/>
            <w:bottom w:val="none" w:sz="0" w:space="0" w:color="auto"/>
            <w:right w:val="none" w:sz="0" w:space="0" w:color="auto"/>
          </w:divBdr>
        </w:div>
        <w:div w:id="779253916">
          <w:marLeft w:val="0"/>
          <w:marRight w:val="0"/>
          <w:marTop w:val="0"/>
          <w:marBottom w:val="0"/>
          <w:divBdr>
            <w:top w:val="none" w:sz="0" w:space="0" w:color="auto"/>
            <w:left w:val="none" w:sz="0" w:space="0" w:color="auto"/>
            <w:bottom w:val="none" w:sz="0" w:space="0" w:color="auto"/>
            <w:right w:val="none" w:sz="0" w:space="0" w:color="auto"/>
          </w:divBdr>
        </w:div>
        <w:div w:id="790172493">
          <w:marLeft w:val="0"/>
          <w:marRight w:val="0"/>
          <w:marTop w:val="0"/>
          <w:marBottom w:val="0"/>
          <w:divBdr>
            <w:top w:val="none" w:sz="0" w:space="0" w:color="auto"/>
            <w:left w:val="none" w:sz="0" w:space="0" w:color="auto"/>
            <w:bottom w:val="none" w:sz="0" w:space="0" w:color="auto"/>
            <w:right w:val="none" w:sz="0" w:space="0" w:color="auto"/>
          </w:divBdr>
        </w:div>
        <w:div w:id="864905438">
          <w:marLeft w:val="0"/>
          <w:marRight w:val="0"/>
          <w:marTop w:val="0"/>
          <w:marBottom w:val="0"/>
          <w:divBdr>
            <w:top w:val="none" w:sz="0" w:space="0" w:color="auto"/>
            <w:left w:val="none" w:sz="0" w:space="0" w:color="auto"/>
            <w:bottom w:val="none" w:sz="0" w:space="0" w:color="auto"/>
            <w:right w:val="none" w:sz="0" w:space="0" w:color="auto"/>
          </w:divBdr>
        </w:div>
        <w:div w:id="868566530">
          <w:marLeft w:val="0"/>
          <w:marRight w:val="0"/>
          <w:marTop w:val="0"/>
          <w:marBottom w:val="0"/>
          <w:divBdr>
            <w:top w:val="none" w:sz="0" w:space="0" w:color="auto"/>
            <w:left w:val="none" w:sz="0" w:space="0" w:color="auto"/>
            <w:bottom w:val="none" w:sz="0" w:space="0" w:color="auto"/>
            <w:right w:val="none" w:sz="0" w:space="0" w:color="auto"/>
          </w:divBdr>
        </w:div>
        <w:div w:id="894320082">
          <w:marLeft w:val="0"/>
          <w:marRight w:val="0"/>
          <w:marTop w:val="0"/>
          <w:marBottom w:val="0"/>
          <w:divBdr>
            <w:top w:val="none" w:sz="0" w:space="0" w:color="auto"/>
            <w:left w:val="none" w:sz="0" w:space="0" w:color="auto"/>
            <w:bottom w:val="none" w:sz="0" w:space="0" w:color="auto"/>
            <w:right w:val="none" w:sz="0" w:space="0" w:color="auto"/>
          </w:divBdr>
        </w:div>
        <w:div w:id="949506365">
          <w:marLeft w:val="0"/>
          <w:marRight w:val="0"/>
          <w:marTop w:val="0"/>
          <w:marBottom w:val="0"/>
          <w:divBdr>
            <w:top w:val="none" w:sz="0" w:space="0" w:color="auto"/>
            <w:left w:val="none" w:sz="0" w:space="0" w:color="auto"/>
            <w:bottom w:val="none" w:sz="0" w:space="0" w:color="auto"/>
            <w:right w:val="none" w:sz="0" w:space="0" w:color="auto"/>
          </w:divBdr>
        </w:div>
        <w:div w:id="963075991">
          <w:marLeft w:val="0"/>
          <w:marRight w:val="0"/>
          <w:marTop w:val="0"/>
          <w:marBottom w:val="0"/>
          <w:divBdr>
            <w:top w:val="none" w:sz="0" w:space="0" w:color="auto"/>
            <w:left w:val="none" w:sz="0" w:space="0" w:color="auto"/>
            <w:bottom w:val="none" w:sz="0" w:space="0" w:color="auto"/>
            <w:right w:val="none" w:sz="0" w:space="0" w:color="auto"/>
          </w:divBdr>
        </w:div>
        <w:div w:id="1027020522">
          <w:marLeft w:val="0"/>
          <w:marRight w:val="0"/>
          <w:marTop w:val="0"/>
          <w:marBottom w:val="0"/>
          <w:divBdr>
            <w:top w:val="none" w:sz="0" w:space="0" w:color="auto"/>
            <w:left w:val="none" w:sz="0" w:space="0" w:color="auto"/>
            <w:bottom w:val="none" w:sz="0" w:space="0" w:color="auto"/>
            <w:right w:val="none" w:sz="0" w:space="0" w:color="auto"/>
          </w:divBdr>
        </w:div>
        <w:div w:id="1106922537">
          <w:marLeft w:val="0"/>
          <w:marRight w:val="0"/>
          <w:marTop w:val="0"/>
          <w:marBottom w:val="0"/>
          <w:divBdr>
            <w:top w:val="none" w:sz="0" w:space="0" w:color="auto"/>
            <w:left w:val="none" w:sz="0" w:space="0" w:color="auto"/>
            <w:bottom w:val="none" w:sz="0" w:space="0" w:color="auto"/>
            <w:right w:val="none" w:sz="0" w:space="0" w:color="auto"/>
          </w:divBdr>
        </w:div>
        <w:div w:id="1123689245">
          <w:marLeft w:val="0"/>
          <w:marRight w:val="0"/>
          <w:marTop w:val="0"/>
          <w:marBottom w:val="0"/>
          <w:divBdr>
            <w:top w:val="none" w:sz="0" w:space="0" w:color="auto"/>
            <w:left w:val="none" w:sz="0" w:space="0" w:color="auto"/>
            <w:bottom w:val="none" w:sz="0" w:space="0" w:color="auto"/>
            <w:right w:val="none" w:sz="0" w:space="0" w:color="auto"/>
          </w:divBdr>
        </w:div>
        <w:div w:id="1193766710">
          <w:marLeft w:val="0"/>
          <w:marRight w:val="0"/>
          <w:marTop w:val="0"/>
          <w:marBottom w:val="0"/>
          <w:divBdr>
            <w:top w:val="none" w:sz="0" w:space="0" w:color="auto"/>
            <w:left w:val="none" w:sz="0" w:space="0" w:color="auto"/>
            <w:bottom w:val="none" w:sz="0" w:space="0" w:color="auto"/>
            <w:right w:val="none" w:sz="0" w:space="0" w:color="auto"/>
          </w:divBdr>
        </w:div>
        <w:div w:id="1220484299">
          <w:marLeft w:val="0"/>
          <w:marRight w:val="0"/>
          <w:marTop w:val="0"/>
          <w:marBottom w:val="0"/>
          <w:divBdr>
            <w:top w:val="none" w:sz="0" w:space="0" w:color="auto"/>
            <w:left w:val="none" w:sz="0" w:space="0" w:color="auto"/>
            <w:bottom w:val="none" w:sz="0" w:space="0" w:color="auto"/>
            <w:right w:val="none" w:sz="0" w:space="0" w:color="auto"/>
          </w:divBdr>
        </w:div>
        <w:div w:id="1227758779">
          <w:marLeft w:val="0"/>
          <w:marRight w:val="0"/>
          <w:marTop w:val="0"/>
          <w:marBottom w:val="0"/>
          <w:divBdr>
            <w:top w:val="none" w:sz="0" w:space="0" w:color="auto"/>
            <w:left w:val="none" w:sz="0" w:space="0" w:color="auto"/>
            <w:bottom w:val="none" w:sz="0" w:space="0" w:color="auto"/>
            <w:right w:val="none" w:sz="0" w:space="0" w:color="auto"/>
          </w:divBdr>
        </w:div>
        <w:div w:id="1243032159">
          <w:marLeft w:val="0"/>
          <w:marRight w:val="0"/>
          <w:marTop w:val="0"/>
          <w:marBottom w:val="0"/>
          <w:divBdr>
            <w:top w:val="none" w:sz="0" w:space="0" w:color="auto"/>
            <w:left w:val="none" w:sz="0" w:space="0" w:color="auto"/>
            <w:bottom w:val="none" w:sz="0" w:space="0" w:color="auto"/>
            <w:right w:val="none" w:sz="0" w:space="0" w:color="auto"/>
          </w:divBdr>
        </w:div>
        <w:div w:id="1339117751">
          <w:marLeft w:val="0"/>
          <w:marRight w:val="0"/>
          <w:marTop w:val="0"/>
          <w:marBottom w:val="0"/>
          <w:divBdr>
            <w:top w:val="none" w:sz="0" w:space="0" w:color="auto"/>
            <w:left w:val="none" w:sz="0" w:space="0" w:color="auto"/>
            <w:bottom w:val="none" w:sz="0" w:space="0" w:color="auto"/>
            <w:right w:val="none" w:sz="0" w:space="0" w:color="auto"/>
          </w:divBdr>
        </w:div>
        <w:div w:id="1429815365">
          <w:marLeft w:val="0"/>
          <w:marRight w:val="0"/>
          <w:marTop w:val="0"/>
          <w:marBottom w:val="0"/>
          <w:divBdr>
            <w:top w:val="none" w:sz="0" w:space="0" w:color="auto"/>
            <w:left w:val="none" w:sz="0" w:space="0" w:color="auto"/>
            <w:bottom w:val="none" w:sz="0" w:space="0" w:color="auto"/>
            <w:right w:val="none" w:sz="0" w:space="0" w:color="auto"/>
          </w:divBdr>
        </w:div>
        <w:div w:id="1630358321">
          <w:marLeft w:val="0"/>
          <w:marRight w:val="0"/>
          <w:marTop w:val="0"/>
          <w:marBottom w:val="0"/>
          <w:divBdr>
            <w:top w:val="none" w:sz="0" w:space="0" w:color="auto"/>
            <w:left w:val="none" w:sz="0" w:space="0" w:color="auto"/>
            <w:bottom w:val="none" w:sz="0" w:space="0" w:color="auto"/>
            <w:right w:val="none" w:sz="0" w:space="0" w:color="auto"/>
          </w:divBdr>
        </w:div>
        <w:div w:id="1722553876">
          <w:marLeft w:val="0"/>
          <w:marRight w:val="0"/>
          <w:marTop w:val="0"/>
          <w:marBottom w:val="0"/>
          <w:divBdr>
            <w:top w:val="none" w:sz="0" w:space="0" w:color="auto"/>
            <w:left w:val="none" w:sz="0" w:space="0" w:color="auto"/>
            <w:bottom w:val="none" w:sz="0" w:space="0" w:color="auto"/>
            <w:right w:val="none" w:sz="0" w:space="0" w:color="auto"/>
          </w:divBdr>
        </w:div>
        <w:div w:id="1782676617">
          <w:marLeft w:val="0"/>
          <w:marRight w:val="0"/>
          <w:marTop w:val="0"/>
          <w:marBottom w:val="0"/>
          <w:divBdr>
            <w:top w:val="none" w:sz="0" w:space="0" w:color="auto"/>
            <w:left w:val="none" w:sz="0" w:space="0" w:color="auto"/>
            <w:bottom w:val="none" w:sz="0" w:space="0" w:color="auto"/>
            <w:right w:val="none" w:sz="0" w:space="0" w:color="auto"/>
          </w:divBdr>
        </w:div>
        <w:div w:id="1989750648">
          <w:marLeft w:val="0"/>
          <w:marRight w:val="0"/>
          <w:marTop w:val="0"/>
          <w:marBottom w:val="0"/>
          <w:divBdr>
            <w:top w:val="none" w:sz="0" w:space="0" w:color="auto"/>
            <w:left w:val="none" w:sz="0" w:space="0" w:color="auto"/>
            <w:bottom w:val="none" w:sz="0" w:space="0" w:color="auto"/>
            <w:right w:val="none" w:sz="0" w:space="0" w:color="auto"/>
          </w:divBdr>
        </w:div>
        <w:div w:id="2011323686">
          <w:marLeft w:val="0"/>
          <w:marRight w:val="0"/>
          <w:marTop w:val="0"/>
          <w:marBottom w:val="0"/>
          <w:divBdr>
            <w:top w:val="none" w:sz="0" w:space="0" w:color="auto"/>
            <w:left w:val="none" w:sz="0" w:space="0" w:color="auto"/>
            <w:bottom w:val="none" w:sz="0" w:space="0" w:color="auto"/>
            <w:right w:val="none" w:sz="0" w:space="0" w:color="auto"/>
          </w:divBdr>
        </w:div>
        <w:div w:id="2015104915">
          <w:marLeft w:val="0"/>
          <w:marRight w:val="0"/>
          <w:marTop w:val="0"/>
          <w:marBottom w:val="0"/>
          <w:divBdr>
            <w:top w:val="none" w:sz="0" w:space="0" w:color="auto"/>
            <w:left w:val="none" w:sz="0" w:space="0" w:color="auto"/>
            <w:bottom w:val="none" w:sz="0" w:space="0" w:color="auto"/>
            <w:right w:val="none" w:sz="0" w:space="0" w:color="auto"/>
          </w:divBdr>
        </w:div>
        <w:div w:id="2046564465">
          <w:marLeft w:val="0"/>
          <w:marRight w:val="0"/>
          <w:marTop w:val="0"/>
          <w:marBottom w:val="0"/>
          <w:divBdr>
            <w:top w:val="none" w:sz="0" w:space="0" w:color="auto"/>
            <w:left w:val="none" w:sz="0" w:space="0" w:color="auto"/>
            <w:bottom w:val="none" w:sz="0" w:space="0" w:color="auto"/>
            <w:right w:val="none" w:sz="0" w:space="0" w:color="auto"/>
          </w:divBdr>
        </w:div>
      </w:divsChild>
    </w:div>
    <w:div w:id="654187126">
      <w:bodyDiv w:val="1"/>
      <w:marLeft w:val="0"/>
      <w:marRight w:val="0"/>
      <w:marTop w:val="0"/>
      <w:marBottom w:val="0"/>
      <w:divBdr>
        <w:top w:val="none" w:sz="0" w:space="0" w:color="auto"/>
        <w:left w:val="none" w:sz="0" w:space="0" w:color="auto"/>
        <w:bottom w:val="none" w:sz="0" w:space="0" w:color="auto"/>
        <w:right w:val="none" w:sz="0" w:space="0" w:color="auto"/>
      </w:divBdr>
    </w:div>
    <w:div w:id="654261843">
      <w:bodyDiv w:val="1"/>
      <w:marLeft w:val="0"/>
      <w:marRight w:val="0"/>
      <w:marTop w:val="0"/>
      <w:marBottom w:val="0"/>
      <w:divBdr>
        <w:top w:val="none" w:sz="0" w:space="0" w:color="auto"/>
        <w:left w:val="none" w:sz="0" w:space="0" w:color="auto"/>
        <w:bottom w:val="none" w:sz="0" w:space="0" w:color="auto"/>
        <w:right w:val="none" w:sz="0" w:space="0" w:color="auto"/>
      </w:divBdr>
      <w:divsChild>
        <w:div w:id="146362797">
          <w:marLeft w:val="0"/>
          <w:marRight w:val="0"/>
          <w:marTop w:val="0"/>
          <w:marBottom w:val="0"/>
          <w:divBdr>
            <w:top w:val="none" w:sz="0" w:space="0" w:color="auto"/>
            <w:left w:val="none" w:sz="0" w:space="0" w:color="auto"/>
            <w:bottom w:val="none" w:sz="0" w:space="0" w:color="auto"/>
            <w:right w:val="none" w:sz="0" w:space="0" w:color="auto"/>
          </w:divBdr>
        </w:div>
        <w:div w:id="154808866">
          <w:marLeft w:val="0"/>
          <w:marRight w:val="0"/>
          <w:marTop w:val="0"/>
          <w:marBottom w:val="0"/>
          <w:divBdr>
            <w:top w:val="none" w:sz="0" w:space="0" w:color="auto"/>
            <w:left w:val="none" w:sz="0" w:space="0" w:color="auto"/>
            <w:bottom w:val="none" w:sz="0" w:space="0" w:color="auto"/>
            <w:right w:val="none" w:sz="0" w:space="0" w:color="auto"/>
          </w:divBdr>
        </w:div>
        <w:div w:id="184683123">
          <w:marLeft w:val="0"/>
          <w:marRight w:val="0"/>
          <w:marTop w:val="0"/>
          <w:marBottom w:val="0"/>
          <w:divBdr>
            <w:top w:val="none" w:sz="0" w:space="0" w:color="auto"/>
            <w:left w:val="none" w:sz="0" w:space="0" w:color="auto"/>
            <w:bottom w:val="none" w:sz="0" w:space="0" w:color="auto"/>
            <w:right w:val="none" w:sz="0" w:space="0" w:color="auto"/>
          </w:divBdr>
        </w:div>
        <w:div w:id="241990695">
          <w:marLeft w:val="0"/>
          <w:marRight w:val="0"/>
          <w:marTop w:val="0"/>
          <w:marBottom w:val="0"/>
          <w:divBdr>
            <w:top w:val="none" w:sz="0" w:space="0" w:color="auto"/>
            <w:left w:val="none" w:sz="0" w:space="0" w:color="auto"/>
            <w:bottom w:val="none" w:sz="0" w:space="0" w:color="auto"/>
            <w:right w:val="none" w:sz="0" w:space="0" w:color="auto"/>
          </w:divBdr>
        </w:div>
        <w:div w:id="489565778">
          <w:marLeft w:val="0"/>
          <w:marRight w:val="0"/>
          <w:marTop w:val="0"/>
          <w:marBottom w:val="0"/>
          <w:divBdr>
            <w:top w:val="none" w:sz="0" w:space="0" w:color="auto"/>
            <w:left w:val="none" w:sz="0" w:space="0" w:color="auto"/>
            <w:bottom w:val="none" w:sz="0" w:space="0" w:color="auto"/>
            <w:right w:val="none" w:sz="0" w:space="0" w:color="auto"/>
          </w:divBdr>
        </w:div>
        <w:div w:id="538251097">
          <w:marLeft w:val="0"/>
          <w:marRight w:val="0"/>
          <w:marTop w:val="0"/>
          <w:marBottom w:val="0"/>
          <w:divBdr>
            <w:top w:val="none" w:sz="0" w:space="0" w:color="auto"/>
            <w:left w:val="none" w:sz="0" w:space="0" w:color="auto"/>
            <w:bottom w:val="none" w:sz="0" w:space="0" w:color="auto"/>
            <w:right w:val="none" w:sz="0" w:space="0" w:color="auto"/>
          </w:divBdr>
        </w:div>
        <w:div w:id="580987252">
          <w:marLeft w:val="0"/>
          <w:marRight w:val="0"/>
          <w:marTop w:val="0"/>
          <w:marBottom w:val="0"/>
          <w:divBdr>
            <w:top w:val="none" w:sz="0" w:space="0" w:color="auto"/>
            <w:left w:val="none" w:sz="0" w:space="0" w:color="auto"/>
            <w:bottom w:val="none" w:sz="0" w:space="0" w:color="auto"/>
            <w:right w:val="none" w:sz="0" w:space="0" w:color="auto"/>
          </w:divBdr>
        </w:div>
        <w:div w:id="645359388">
          <w:marLeft w:val="0"/>
          <w:marRight w:val="0"/>
          <w:marTop w:val="0"/>
          <w:marBottom w:val="0"/>
          <w:divBdr>
            <w:top w:val="none" w:sz="0" w:space="0" w:color="auto"/>
            <w:left w:val="none" w:sz="0" w:space="0" w:color="auto"/>
            <w:bottom w:val="none" w:sz="0" w:space="0" w:color="auto"/>
            <w:right w:val="none" w:sz="0" w:space="0" w:color="auto"/>
          </w:divBdr>
        </w:div>
        <w:div w:id="835805741">
          <w:marLeft w:val="0"/>
          <w:marRight w:val="0"/>
          <w:marTop w:val="0"/>
          <w:marBottom w:val="0"/>
          <w:divBdr>
            <w:top w:val="none" w:sz="0" w:space="0" w:color="auto"/>
            <w:left w:val="none" w:sz="0" w:space="0" w:color="auto"/>
            <w:bottom w:val="none" w:sz="0" w:space="0" w:color="auto"/>
            <w:right w:val="none" w:sz="0" w:space="0" w:color="auto"/>
          </w:divBdr>
        </w:div>
        <w:div w:id="941911929">
          <w:marLeft w:val="0"/>
          <w:marRight w:val="0"/>
          <w:marTop w:val="0"/>
          <w:marBottom w:val="0"/>
          <w:divBdr>
            <w:top w:val="none" w:sz="0" w:space="0" w:color="auto"/>
            <w:left w:val="none" w:sz="0" w:space="0" w:color="auto"/>
            <w:bottom w:val="none" w:sz="0" w:space="0" w:color="auto"/>
            <w:right w:val="none" w:sz="0" w:space="0" w:color="auto"/>
          </w:divBdr>
        </w:div>
        <w:div w:id="1014380342">
          <w:marLeft w:val="0"/>
          <w:marRight w:val="0"/>
          <w:marTop w:val="0"/>
          <w:marBottom w:val="0"/>
          <w:divBdr>
            <w:top w:val="none" w:sz="0" w:space="0" w:color="auto"/>
            <w:left w:val="none" w:sz="0" w:space="0" w:color="auto"/>
            <w:bottom w:val="none" w:sz="0" w:space="0" w:color="auto"/>
            <w:right w:val="none" w:sz="0" w:space="0" w:color="auto"/>
          </w:divBdr>
        </w:div>
        <w:div w:id="1225605339">
          <w:marLeft w:val="0"/>
          <w:marRight w:val="0"/>
          <w:marTop w:val="0"/>
          <w:marBottom w:val="0"/>
          <w:divBdr>
            <w:top w:val="none" w:sz="0" w:space="0" w:color="auto"/>
            <w:left w:val="none" w:sz="0" w:space="0" w:color="auto"/>
            <w:bottom w:val="none" w:sz="0" w:space="0" w:color="auto"/>
            <w:right w:val="none" w:sz="0" w:space="0" w:color="auto"/>
          </w:divBdr>
        </w:div>
        <w:div w:id="1389374355">
          <w:marLeft w:val="0"/>
          <w:marRight w:val="0"/>
          <w:marTop w:val="0"/>
          <w:marBottom w:val="0"/>
          <w:divBdr>
            <w:top w:val="none" w:sz="0" w:space="0" w:color="auto"/>
            <w:left w:val="none" w:sz="0" w:space="0" w:color="auto"/>
            <w:bottom w:val="none" w:sz="0" w:space="0" w:color="auto"/>
            <w:right w:val="none" w:sz="0" w:space="0" w:color="auto"/>
          </w:divBdr>
        </w:div>
        <w:div w:id="1456558214">
          <w:marLeft w:val="0"/>
          <w:marRight w:val="0"/>
          <w:marTop w:val="0"/>
          <w:marBottom w:val="0"/>
          <w:divBdr>
            <w:top w:val="none" w:sz="0" w:space="0" w:color="auto"/>
            <w:left w:val="none" w:sz="0" w:space="0" w:color="auto"/>
            <w:bottom w:val="none" w:sz="0" w:space="0" w:color="auto"/>
            <w:right w:val="none" w:sz="0" w:space="0" w:color="auto"/>
          </w:divBdr>
        </w:div>
        <w:div w:id="1461537674">
          <w:marLeft w:val="0"/>
          <w:marRight w:val="0"/>
          <w:marTop w:val="0"/>
          <w:marBottom w:val="0"/>
          <w:divBdr>
            <w:top w:val="none" w:sz="0" w:space="0" w:color="auto"/>
            <w:left w:val="none" w:sz="0" w:space="0" w:color="auto"/>
            <w:bottom w:val="none" w:sz="0" w:space="0" w:color="auto"/>
            <w:right w:val="none" w:sz="0" w:space="0" w:color="auto"/>
          </w:divBdr>
        </w:div>
        <w:div w:id="1531409586">
          <w:marLeft w:val="0"/>
          <w:marRight w:val="0"/>
          <w:marTop w:val="0"/>
          <w:marBottom w:val="0"/>
          <w:divBdr>
            <w:top w:val="none" w:sz="0" w:space="0" w:color="auto"/>
            <w:left w:val="none" w:sz="0" w:space="0" w:color="auto"/>
            <w:bottom w:val="none" w:sz="0" w:space="0" w:color="auto"/>
            <w:right w:val="none" w:sz="0" w:space="0" w:color="auto"/>
          </w:divBdr>
        </w:div>
        <w:div w:id="1611546048">
          <w:marLeft w:val="0"/>
          <w:marRight w:val="0"/>
          <w:marTop w:val="0"/>
          <w:marBottom w:val="0"/>
          <w:divBdr>
            <w:top w:val="none" w:sz="0" w:space="0" w:color="auto"/>
            <w:left w:val="none" w:sz="0" w:space="0" w:color="auto"/>
            <w:bottom w:val="none" w:sz="0" w:space="0" w:color="auto"/>
            <w:right w:val="none" w:sz="0" w:space="0" w:color="auto"/>
          </w:divBdr>
        </w:div>
        <w:div w:id="1671328470">
          <w:marLeft w:val="0"/>
          <w:marRight w:val="0"/>
          <w:marTop w:val="0"/>
          <w:marBottom w:val="0"/>
          <w:divBdr>
            <w:top w:val="none" w:sz="0" w:space="0" w:color="auto"/>
            <w:left w:val="none" w:sz="0" w:space="0" w:color="auto"/>
            <w:bottom w:val="none" w:sz="0" w:space="0" w:color="auto"/>
            <w:right w:val="none" w:sz="0" w:space="0" w:color="auto"/>
          </w:divBdr>
        </w:div>
        <w:div w:id="1711613238">
          <w:marLeft w:val="0"/>
          <w:marRight w:val="0"/>
          <w:marTop w:val="0"/>
          <w:marBottom w:val="0"/>
          <w:divBdr>
            <w:top w:val="none" w:sz="0" w:space="0" w:color="auto"/>
            <w:left w:val="none" w:sz="0" w:space="0" w:color="auto"/>
            <w:bottom w:val="none" w:sz="0" w:space="0" w:color="auto"/>
            <w:right w:val="none" w:sz="0" w:space="0" w:color="auto"/>
          </w:divBdr>
        </w:div>
        <w:div w:id="1982422565">
          <w:marLeft w:val="0"/>
          <w:marRight w:val="0"/>
          <w:marTop w:val="0"/>
          <w:marBottom w:val="0"/>
          <w:divBdr>
            <w:top w:val="none" w:sz="0" w:space="0" w:color="auto"/>
            <w:left w:val="none" w:sz="0" w:space="0" w:color="auto"/>
            <w:bottom w:val="none" w:sz="0" w:space="0" w:color="auto"/>
            <w:right w:val="none" w:sz="0" w:space="0" w:color="auto"/>
          </w:divBdr>
        </w:div>
        <w:div w:id="2136487238">
          <w:marLeft w:val="0"/>
          <w:marRight w:val="0"/>
          <w:marTop w:val="0"/>
          <w:marBottom w:val="0"/>
          <w:divBdr>
            <w:top w:val="none" w:sz="0" w:space="0" w:color="auto"/>
            <w:left w:val="none" w:sz="0" w:space="0" w:color="auto"/>
            <w:bottom w:val="none" w:sz="0" w:space="0" w:color="auto"/>
            <w:right w:val="none" w:sz="0" w:space="0" w:color="auto"/>
          </w:divBdr>
        </w:div>
      </w:divsChild>
    </w:div>
    <w:div w:id="656031694">
      <w:bodyDiv w:val="1"/>
      <w:marLeft w:val="0"/>
      <w:marRight w:val="0"/>
      <w:marTop w:val="0"/>
      <w:marBottom w:val="0"/>
      <w:divBdr>
        <w:top w:val="none" w:sz="0" w:space="0" w:color="auto"/>
        <w:left w:val="none" w:sz="0" w:space="0" w:color="auto"/>
        <w:bottom w:val="none" w:sz="0" w:space="0" w:color="auto"/>
        <w:right w:val="none" w:sz="0" w:space="0" w:color="auto"/>
      </w:divBdr>
      <w:divsChild>
        <w:div w:id="111822200">
          <w:marLeft w:val="0"/>
          <w:marRight w:val="0"/>
          <w:marTop w:val="0"/>
          <w:marBottom w:val="0"/>
          <w:divBdr>
            <w:top w:val="none" w:sz="0" w:space="0" w:color="auto"/>
            <w:left w:val="none" w:sz="0" w:space="0" w:color="auto"/>
            <w:bottom w:val="none" w:sz="0" w:space="0" w:color="auto"/>
            <w:right w:val="none" w:sz="0" w:space="0" w:color="auto"/>
          </w:divBdr>
        </w:div>
        <w:div w:id="378208486">
          <w:marLeft w:val="0"/>
          <w:marRight w:val="0"/>
          <w:marTop w:val="0"/>
          <w:marBottom w:val="0"/>
          <w:divBdr>
            <w:top w:val="none" w:sz="0" w:space="0" w:color="auto"/>
            <w:left w:val="none" w:sz="0" w:space="0" w:color="auto"/>
            <w:bottom w:val="none" w:sz="0" w:space="0" w:color="auto"/>
            <w:right w:val="none" w:sz="0" w:space="0" w:color="auto"/>
          </w:divBdr>
        </w:div>
      </w:divsChild>
    </w:div>
    <w:div w:id="662196904">
      <w:bodyDiv w:val="1"/>
      <w:marLeft w:val="0"/>
      <w:marRight w:val="0"/>
      <w:marTop w:val="0"/>
      <w:marBottom w:val="0"/>
      <w:divBdr>
        <w:top w:val="none" w:sz="0" w:space="0" w:color="auto"/>
        <w:left w:val="none" w:sz="0" w:space="0" w:color="auto"/>
        <w:bottom w:val="none" w:sz="0" w:space="0" w:color="auto"/>
        <w:right w:val="none" w:sz="0" w:space="0" w:color="auto"/>
      </w:divBdr>
    </w:div>
    <w:div w:id="677075037">
      <w:bodyDiv w:val="1"/>
      <w:marLeft w:val="0"/>
      <w:marRight w:val="0"/>
      <w:marTop w:val="0"/>
      <w:marBottom w:val="0"/>
      <w:divBdr>
        <w:top w:val="none" w:sz="0" w:space="0" w:color="auto"/>
        <w:left w:val="none" w:sz="0" w:space="0" w:color="auto"/>
        <w:bottom w:val="none" w:sz="0" w:space="0" w:color="auto"/>
        <w:right w:val="none" w:sz="0" w:space="0" w:color="auto"/>
      </w:divBdr>
      <w:divsChild>
        <w:div w:id="46033350">
          <w:marLeft w:val="274"/>
          <w:marRight w:val="0"/>
          <w:marTop w:val="0"/>
          <w:marBottom w:val="0"/>
          <w:divBdr>
            <w:top w:val="none" w:sz="0" w:space="0" w:color="auto"/>
            <w:left w:val="none" w:sz="0" w:space="0" w:color="auto"/>
            <w:bottom w:val="none" w:sz="0" w:space="0" w:color="auto"/>
            <w:right w:val="none" w:sz="0" w:space="0" w:color="auto"/>
          </w:divBdr>
        </w:div>
        <w:div w:id="757562738">
          <w:marLeft w:val="274"/>
          <w:marRight w:val="0"/>
          <w:marTop w:val="0"/>
          <w:marBottom w:val="0"/>
          <w:divBdr>
            <w:top w:val="none" w:sz="0" w:space="0" w:color="auto"/>
            <w:left w:val="none" w:sz="0" w:space="0" w:color="auto"/>
            <w:bottom w:val="none" w:sz="0" w:space="0" w:color="auto"/>
            <w:right w:val="none" w:sz="0" w:space="0" w:color="auto"/>
          </w:divBdr>
        </w:div>
        <w:div w:id="1248805337">
          <w:marLeft w:val="274"/>
          <w:marRight w:val="0"/>
          <w:marTop w:val="0"/>
          <w:marBottom w:val="0"/>
          <w:divBdr>
            <w:top w:val="none" w:sz="0" w:space="0" w:color="auto"/>
            <w:left w:val="none" w:sz="0" w:space="0" w:color="auto"/>
            <w:bottom w:val="none" w:sz="0" w:space="0" w:color="auto"/>
            <w:right w:val="none" w:sz="0" w:space="0" w:color="auto"/>
          </w:divBdr>
        </w:div>
        <w:div w:id="1348410891">
          <w:marLeft w:val="274"/>
          <w:marRight w:val="0"/>
          <w:marTop w:val="0"/>
          <w:marBottom w:val="0"/>
          <w:divBdr>
            <w:top w:val="none" w:sz="0" w:space="0" w:color="auto"/>
            <w:left w:val="none" w:sz="0" w:space="0" w:color="auto"/>
            <w:bottom w:val="none" w:sz="0" w:space="0" w:color="auto"/>
            <w:right w:val="none" w:sz="0" w:space="0" w:color="auto"/>
          </w:divBdr>
        </w:div>
        <w:div w:id="1379549760">
          <w:marLeft w:val="274"/>
          <w:marRight w:val="0"/>
          <w:marTop w:val="0"/>
          <w:marBottom w:val="0"/>
          <w:divBdr>
            <w:top w:val="none" w:sz="0" w:space="0" w:color="auto"/>
            <w:left w:val="none" w:sz="0" w:space="0" w:color="auto"/>
            <w:bottom w:val="none" w:sz="0" w:space="0" w:color="auto"/>
            <w:right w:val="none" w:sz="0" w:space="0" w:color="auto"/>
          </w:divBdr>
        </w:div>
        <w:div w:id="1619681725">
          <w:marLeft w:val="274"/>
          <w:marRight w:val="0"/>
          <w:marTop w:val="0"/>
          <w:marBottom w:val="0"/>
          <w:divBdr>
            <w:top w:val="none" w:sz="0" w:space="0" w:color="auto"/>
            <w:left w:val="none" w:sz="0" w:space="0" w:color="auto"/>
            <w:bottom w:val="none" w:sz="0" w:space="0" w:color="auto"/>
            <w:right w:val="none" w:sz="0" w:space="0" w:color="auto"/>
          </w:divBdr>
        </w:div>
      </w:divsChild>
    </w:div>
    <w:div w:id="679433887">
      <w:bodyDiv w:val="1"/>
      <w:marLeft w:val="0"/>
      <w:marRight w:val="0"/>
      <w:marTop w:val="0"/>
      <w:marBottom w:val="0"/>
      <w:divBdr>
        <w:top w:val="none" w:sz="0" w:space="0" w:color="auto"/>
        <w:left w:val="none" w:sz="0" w:space="0" w:color="auto"/>
        <w:bottom w:val="none" w:sz="0" w:space="0" w:color="auto"/>
        <w:right w:val="none" w:sz="0" w:space="0" w:color="auto"/>
      </w:divBdr>
      <w:divsChild>
        <w:div w:id="245456113">
          <w:marLeft w:val="0"/>
          <w:marRight w:val="0"/>
          <w:marTop w:val="0"/>
          <w:marBottom w:val="0"/>
          <w:divBdr>
            <w:top w:val="none" w:sz="0" w:space="0" w:color="auto"/>
            <w:left w:val="none" w:sz="0" w:space="0" w:color="auto"/>
            <w:bottom w:val="none" w:sz="0" w:space="0" w:color="auto"/>
            <w:right w:val="none" w:sz="0" w:space="0" w:color="auto"/>
          </w:divBdr>
        </w:div>
      </w:divsChild>
    </w:div>
    <w:div w:id="679771992">
      <w:bodyDiv w:val="1"/>
      <w:marLeft w:val="0"/>
      <w:marRight w:val="0"/>
      <w:marTop w:val="0"/>
      <w:marBottom w:val="0"/>
      <w:divBdr>
        <w:top w:val="none" w:sz="0" w:space="0" w:color="auto"/>
        <w:left w:val="none" w:sz="0" w:space="0" w:color="auto"/>
        <w:bottom w:val="none" w:sz="0" w:space="0" w:color="auto"/>
        <w:right w:val="none" w:sz="0" w:space="0" w:color="auto"/>
      </w:divBdr>
    </w:div>
    <w:div w:id="683170124">
      <w:bodyDiv w:val="1"/>
      <w:marLeft w:val="0"/>
      <w:marRight w:val="0"/>
      <w:marTop w:val="0"/>
      <w:marBottom w:val="0"/>
      <w:divBdr>
        <w:top w:val="none" w:sz="0" w:space="0" w:color="auto"/>
        <w:left w:val="none" w:sz="0" w:space="0" w:color="auto"/>
        <w:bottom w:val="none" w:sz="0" w:space="0" w:color="auto"/>
        <w:right w:val="none" w:sz="0" w:space="0" w:color="auto"/>
      </w:divBdr>
      <w:divsChild>
        <w:div w:id="1939480373">
          <w:marLeft w:val="0"/>
          <w:marRight w:val="0"/>
          <w:marTop w:val="210"/>
          <w:marBottom w:val="0"/>
          <w:divBdr>
            <w:top w:val="none" w:sz="0" w:space="0" w:color="auto"/>
            <w:left w:val="none" w:sz="0" w:space="0" w:color="auto"/>
            <w:bottom w:val="none" w:sz="0" w:space="0" w:color="auto"/>
            <w:right w:val="none" w:sz="0" w:space="0" w:color="auto"/>
          </w:divBdr>
        </w:div>
      </w:divsChild>
    </w:div>
    <w:div w:id="712576535">
      <w:bodyDiv w:val="1"/>
      <w:marLeft w:val="0"/>
      <w:marRight w:val="0"/>
      <w:marTop w:val="0"/>
      <w:marBottom w:val="0"/>
      <w:divBdr>
        <w:top w:val="none" w:sz="0" w:space="0" w:color="auto"/>
        <w:left w:val="none" w:sz="0" w:space="0" w:color="auto"/>
        <w:bottom w:val="none" w:sz="0" w:space="0" w:color="auto"/>
        <w:right w:val="none" w:sz="0" w:space="0" w:color="auto"/>
      </w:divBdr>
      <w:divsChild>
        <w:div w:id="136916787">
          <w:marLeft w:val="0"/>
          <w:marRight w:val="0"/>
          <w:marTop w:val="0"/>
          <w:marBottom w:val="0"/>
          <w:divBdr>
            <w:top w:val="none" w:sz="0" w:space="0" w:color="auto"/>
            <w:left w:val="none" w:sz="0" w:space="0" w:color="auto"/>
            <w:bottom w:val="none" w:sz="0" w:space="0" w:color="auto"/>
            <w:right w:val="none" w:sz="0" w:space="0" w:color="auto"/>
          </w:divBdr>
        </w:div>
        <w:div w:id="1381633806">
          <w:marLeft w:val="0"/>
          <w:marRight w:val="0"/>
          <w:marTop w:val="0"/>
          <w:marBottom w:val="0"/>
          <w:divBdr>
            <w:top w:val="none" w:sz="0" w:space="0" w:color="auto"/>
            <w:left w:val="none" w:sz="0" w:space="0" w:color="auto"/>
            <w:bottom w:val="none" w:sz="0" w:space="0" w:color="auto"/>
            <w:right w:val="none" w:sz="0" w:space="0" w:color="auto"/>
          </w:divBdr>
        </w:div>
        <w:div w:id="1538662711">
          <w:marLeft w:val="0"/>
          <w:marRight w:val="0"/>
          <w:marTop w:val="0"/>
          <w:marBottom w:val="0"/>
          <w:divBdr>
            <w:top w:val="none" w:sz="0" w:space="0" w:color="auto"/>
            <w:left w:val="none" w:sz="0" w:space="0" w:color="auto"/>
            <w:bottom w:val="none" w:sz="0" w:space="0" w:color="auto"/>
            <w:right w:val="none" w:sz="0" w:space="0" w:color="auto"/>
          </w:divBdr>
        </w:div>
      </w:divsChild>
    </w:div>
    <w:div w:id="722214318">
      <w:bodyDiv w:val="1"/>
      <w:marLeft w:val="0"/>
      <w:marRight w:val="0"/>
      <w:marTop w:val="0"/>
      <w:marBottom w:val="0"/>
      <w:divBdr>
        <w:top w:val="none" w:sz="0" w:space="0" w:color="auto"/>
        <w:left w:val="none" w:sz="0" w:space="0" w:color="auto"/>
        <w:bottom w:val="none" w:sz="0" w:space="0" w:color="auto"/>
        <w:right w:val="none" w:sz="0" w:space="0" w:color="auto"/>
      </w:divBdr>
      <w:divsChild>
        <w:div w:id="243490359">
          <w:marLeft w:val="274"/>
          <w:marRight w:val="0"/>
          <w:marTop w:val="0"/>
          <w:marBottom w:val="0"/>
          <w:divBdr>
            <w:top w:val="none" w:sz="0" w:space="0" w:color="auto"/>
            <w:left w:val="none" w:sz="0" w:space="0" w:color="auto"/>
            <w:bottom w:val="none" w:sz="0" w:space="0" w:color="auto"/>
            <w:right w:val="none" w:sz="0" w:space="0" w:color="auto"/>
          </w:divBdr>
        </w:div>
        <w:div w:id="1380475901">
          <w:marLeft w:val="274"/>
          <w:marRight w:val="0"/>
          <w:marTop w:val="0"/>
          <w:marBottom w:val="0"/>
          <w:divBdr>
            <w:top w:val="none" w:sz="0" w:space="0" w:color="auto"/>
            <w:left w:val="none" w:sz="0" w:space="0" w:color="auto"/>
            <w:bottom w:val="none" w:sz="0" w:space="0" w:color="auto"/>
            <w:right w:val="none" w:sz="0" w:space="0" w:color="auto"/>
          </w:divBdr>
        </w:div>
        <w:div w:id="1545866269">
          <w:marLeft w:val="274"/>
          <w:marRight w:val="0"/>
          <w:marTop w:val="0"/>
          <w:marBottom w:val="0"/>
          <w:divBdr>
            <w:top w:val="none" w:sz="0" w:space="0" w:color="auto"/>
            <w:left w:val="none" w:sz="0" w:space="0" w:color="auto"/>
            <w:bottom w:val="none" w:sz="0" w:space="0" w:color="auto"/>
            <w:right w:val="none" w:sz="0" w:space="0" w:color="auto"/>
          </w:divBdr>
        </w:div>
        <w:div w:id="2028024514">
          <w:marLeft w:val="274"/>
          <w:marRight w:val="0"/>
          <w:marTop w:val="0"/>
          <w:marBottom w:val="0"/>
          <w:divBdr>
            <w:top w:val="none" w:sz="0" w:space="0" w:color="auto"/>
            <w:left w:val="none" w:sz="0" w:space="0" w:color="auto"/>
            <w:bottom w:val="none" w:sz="0" w:space="0" w:color="auto"/>
            <w:right w:val="none" w:sz="0" w:space="0" w:color="auto"/>
          </w:divBdr>
        </w:div>
        <w:div w:id="2031104337">
          <w:marLeft w:val="274"/>
          <w:marRight w:val="0"/>
          <w:marTop w:val="0"/>
          <w:marBottom w:val="0"/>
          <w:divBdr>
            <w:top w:val="none" w:sz="0" w:space="0" w:color="auto"/>
            <w:left w:val="none" w:sz="0" w:space="0" w:color="auto"/>
            <w:bottom w:val="none" w:sz="0" w:space="0" w:color="auto"/>
            <w:right w:val="none" w:sz="0" w:space="0" w:color="auto"/>
          </w:divBdr>
        </w:div>
      </w:divsChild>
    </w:div>
    <w:div w:id="737480717">
      <w:bodyDiv w:val="1"/>
      <w:marLeft w:val="0"/>
      <w:marRight w:val="0"/>
      <w:marTop w:val="0"/>
      <w:marBottom w:val="0"/>
      <w:divBdr>
        <w:top w:val="none" w:sz="0" w:space="0" w:color="auto"/>
        <w:left w:val="none" w:sz="0" w:space="0" w:color="auto"/>
        <w:bottom w:val="none" w:sz="0" w:space="0" w:color="auto"/>
        <w:right w:val="none" w:sz="0" w:space="0" w:color="auto"/>
      </w:divBdr>
      <w:divsChild>
        <w:div w:id="87435970">
          <w:marLeft w:val="0"/>
          <w:marRight w:val="0"/>
          <w:marTop w:val="0"/>
          <w:marBottom w:val="0"/>
          <w:divBdr>
            <w:top w:val="none" w:sz="0" w:space="0" w:color="auto"/>
            <w:left w:val="none" w:sz="0" w:space="0" w:color="auto"/>
            <w:bottom w:val="none" w:sz="0" w:space="0" w:color="auto"/>
            <w:right w:val="none" w:sz="0" w:space="0" w:color="auto"/>
          </w:divBdr>
        </w:div>
        <w:div w:id="1762527450">
          <w:marLeft w:val="0"/>
          <w:marRight w:val="0"/>
          <w:marTop w:val="0"/>
          <w:marBottom w:val="0"/>
          <w:divBdr>
            <w:top w:val="none" w:sz="0" w:space="0" w:color="auto"/>
            <w:left w:val="none" w:sz="0" w:space="0" w:color="auto"/>
            <w:bottom w:val="none" w:sz="0" w:space="0" w:color="auto"/>
            <w:right w:val="none" w:sz="0" w:space="0" w:color="auto"/>
          </w:divBdr>
        </w:div>
      </w:divsChild>
    </w:div>
    <w:div w:id="746808327">
      <w:bodyDiv w:val="1"/>
      <w:marLeft w:val="0"/>
      <w:marRight w:val="0"/>
      <w:marTop w:val="0"/>
      <w:marBottom w:val="0"/>
      <w:divBdr>
        <w:top w:val="none" w:sz="0" w:space="0" w:color="auto"/>
        <w:left w:val="none" w:sz="0" w:space="0" w:color="auto"/>
        <w:bottom w:val="none" w:sz="0" w:space="0" w:color="auto"/>
        <w:right w:val="none" w:sz="0" w:space="0" w:color="auto"/>
      </w:divBdr>
    </w:div>
    <w:div w:id="825517922">
      <w:bodyDiv w:val="1"/>
      <w:marLeft w:val="0"/>
      <w:marRight w:val="0"/>
      <w:marTop w:val="0"/>
      <w:marBottom w:val="0"/>
      <w:divBdr>
        <w:top w:val="none" w:sz="0" w:space="0" w:color="auto"/>
        <w:left w:val="none" w:sz="0" w:space="0" w:color="auto"/>
        <w:bottom w:val="none" w:sz="0" w:space="0" w:color="auto"/>
        <w:right w:val="none" w:sz="0" w:space="0" w:color="auto"/>
      </w:divBdr>
    </w:div>
    <w:div w:id="845561934">
      <w:bodyDiv w:val="1"/>
      <w:marLeft w:val="0"/>
      <w:marRight w:val="0"/>
      <w:marTop w:val="0"/>
      <w:marBottom w:val="0"/>
      <w:divBdr>
        <w:top w:val="none" w:sz="0" w:space="0" w:color="auto"/>
        <w:left w:val="none" w:sz="0" w:space="0" w:color="auto"/>
        <w:bottom w:val="none" w:sz="0" w:space="0" w:color="auto"/>
        <w:right w:val="none" w:sz="0" w:space="0" w:color="auto"/>
      </w:divBdr>
      <w:divsChild>
        <w:div w:id="150950991">
          <w:marLeft w:val="0"/>
          <w:marRight w:val="0"/>
          <w:marTop w:val="0"/>
          <w:marBottom w:val="0"/>
          <w:divBdr>
            <w:top w:val="none" w:sz="0" w:space="0" w:color="auto"/>
            <w:left w:val="none" w:sz="0" w:space="0" w:color="auto"/>
            <w:bottom w:val="none" w:sz="0" w:space="0" w:color="auto"/>
            <w:right w:val="none" w:sz="0" w:space="0" w:color="auto"/>
          </w:divBdr>
        </w:div>
        <w:div w:id="328604786">
          <w:marLeft w:val="0"/>
          <w:marRight w:val="0"/>
          <w:marTop w:val="0"/>
          <w:marBottom w:val="0"/>
          <w:divBdr>
            <w:top w:val="none" w:sz="0" w:space="0" w:color="auto"/>
            <w:left w:val="none" w:sz="0" w:space="0" w:color="auto"/>
            <w:bottom w:val="none" w:sz="0" w:space="0" w:color="auto"/>
            <w:right w:val="none" w:sz="0" w:space="0" w:color="auto"/>
          </w:divBdr>
        </w:div>
        <w:div w:id="380594930">
          <w:marLeft w:val="0"/>
          <w:marRight w:val="0"/>
          <w:marTop w:val="0"/>
          <w:marBottom w:val="0"/>
          <w:divBdr>
            <w:top w:val="none" w:sz="0" w:space="0" w:color="auto"/>
            <w:left w:val="none" w:sz="0" w:space="0" w:color="auto"/>
            <w:bottom w:val="none" w:sz="0" w:space="0" w:color="auto"/>
            <w:right w:val="none" w:sz="0" w:space="0" w:color="auto"/>
          </w:divBdr>
        </w:div>
        <w:div w:id="411896146">
          <w:marLeft w:val="0"/>
          <w:marRight w:val="0"/>
          <w:marTop w:val="0"/>
          <w:marBottom w:val="0"/>
          <w:divBdr>
            <w:top w:val="none" w:sz="0" w:space="0" w:color="auto"/>
            <w:left w:val="none" w:sz="0" w:space="0" w:color="auto"/>
            <w:bottom w:val="none" w:sz="0" w:space="0" w:color="auto"/>
            <w:right w:val="none" w:sz="0" w:space="0" w:color="auto"/>
          </w:divBdr>
        </w:div>
        <w:div w:id="473060878">
          <w:marLeft w:val="0"/>
          <w:marRight w:val="0"/>
          <w:marTop w:val="0"/>
          <w:marBottom w:val="0"/>
          <w:divBdr>
            <w:top w:val="none" w:sz="0" w:space="0" w:color="auto"/>
            <w:left w:val="none" w:sz="0" w:space="0" w:color="auto"/>
            <w:bottom w:val="none" w:sz="0" w:space="0" w:color="auto"/>
            <w:right w:val="none" w:sz="0" w:space="0" w:color="auto"/>
          </w:divBdr>
        </w:div>
        <w:div w:id="478961777">
          <w:marLeft w:val="0"/>
          <w:marRight w:val="0"/>
          <w:marTop w:val="0"/>
          <w:marBottom w:val="0"/>
          <w:divBdr>
            <w:top w:val="none" w:sz="0" w:space="0" w:color="auto"/>
            <w:left w:val="none" w:sz="0" w:space="0" w:color="auto"/>
            <w:bottom w:val="none" w:sz="0" w:space="0" w:color="auto"/>
            <w:right w:val="none" w:sz="0" w:space="0" w:color="auto"/>
          </w:divBdr>
        </w:div>
        <w:div w:id="538905474">
          <w:marLeft w:val="0"/>
          <w:marRight w:val="0"/>
          <w:marTop w:val="0"/>
          <w:marBottom w:val="0"/>
          <w:divBdr>
            <w:top w:val="none" w:sz="0" w:space="0" w:color="auto"/>
            <w:left w:val="none" w:sz="0" w:space="0" w:color="auto"/>
            <w:bottom w:val="none" w:sz="0" w:space="0" w:color="auto"/>
            <w:right w:val="none" w:sz="0" w:space="0" w:color="auto"/>
          </w:divBdr>
        </w:div>
        <w:div w:id="703023168">
          <w:marLeft w:val="0"/>
          <w:marRight w:val="0"/>
          <w:marTop w:val="0"/>
          <w:marBottom w:val="0"/>
          <w:divBdr>
            <w:top w:val="none" w:sz="0" w:space="0" w:color="auto"/>
            <w:left w:val="none" w:sz="0" w:space="0" w:color="auto"/>
            <w:bottom w:val="none" w:sz="0" w:space="0" w:color="auto"/>
            <w:right w:val="none" w:sz="0" w:space="0" w:color="auto"/>
          </w:divBdr>
        </w:div>
        <w:div w:id="711661503">
          <w:marLeft w:val="0"/>
          <w:marRight w:val="0"/>
          <w:marTop w:val="0"/>
          <w:marBottom w:val="0"/>
          <w:divBdr>
            <w:top w:val="none" w:sz="0" w:space="0" w:color="auto"/>
            <w:left w:val="none" w:sz="0" w:space="0" w:color="auto"/>
            <w:bottom w:val="none" w:sz="0" w:space="0" w:color="auto"/>
            <w:right w:val="none" w:sz="0" w:space="0" w:color="auto"/>
          </w:divBdr>
        </w:div>
        <w:div w:id="834493504">
          <w:marLeft w:val="0"/>
          <w:marRight w:val="0"/>
          <w:marTop w:val="0"/>
          <w:marBottom w:val="0"/>
          <w:divBdr>
            <w:top w:val="none" w:sz="0" w:space="0" w:color="auto"/>
            <w:left w:val="none" w:sz="0" w:space="0" w:color="auto"/>
            <w:bottom w:val="none" w:sz="0" w:space="0" w:color="auto"/>
            <w:right w:val="none" w:sz="0" w:space="0" w:color="auto"/>
          </w:divBdr>
        </w:div>
        <w:div w:id="848369595">
          <w:marLeft w:val="0"/>
          <w:marRight w:val="0"/>
          <w:marTop w:val="0"/>
          <w:marBottom w:val="0"/>
          <w:divBdr>
            <w:top w:val="none" w:sz="0" w:space="0" w:color="auto"/>
            <w:left w:val="none" w:sz="0" w:space="0" w:color="auto"/>
            <w:bottom w:val="none" w:sz="0" w:space="0" w:color="auto"/>
            <w:right w:val="none" w:sz="0" w:space="0" w:color="auto"/>
          </w:divBdr>
        </w:div>
        <w:div w:id="965966022">
          <w:marLeft w:val="0"/>
          <w:marRight w:val="0"/>
          <w:marTop w:val="0"/>
          <w:marBottom w:val="0"/>
          <w:divBdr>
            <w:top w:val="none" w:sz="0" w:space="0" w:color="auto"/>
            <w:left w:val="none" w:sz="0" w:space="0" w:color="auto"/>
            <w:bottom w:val="none" w:sz="0" w:space="0" w:color="auto"/>
            <w:right w:val="none" w:sz="0" w:space="0" w:color="auto"/>
          </w:divBdr>
        </w:div>
        <w:div w:id="975528001">
          <w:marLeft w:val="0"/>
          <w:marRight w:val="0"/>
          <w:marTop w:val="0"/>
          <w:marBottom w:val="0"/>
          <w:divBdr>
            <w:top w:val="none" w:sz="0" w:space="0" w:color="auto"/>
            <w:left w:val="none" w:sz="0" w:space="0" w:color="auto"/>
            <w:bottom w:val="none" w:sz="0" w:space="0" w:color="auto"/>
            <w:right w:val="none" w:sz="0" w:space="0" w:color="auto"/>
          </w:divBdr>
        </w:div>
        <w:div w:id="1110125919">
          <w:marLeft w:val="0"/>
          <w:marRight w:val="0"/>
          <w:marTop w:val="0"/>
          <w:marBottom w:val="0"/>
          <w:divBdr>
            <w:top w:val="none" w:sz="0" w:space="0" w:color="auto"/>
            <w:left w:val="none" w:sz="0" w:space="0" w:color="auto"/>
            <w:bottom w:val="none" w:sz="0" w:space="0" w:color="auto"/>
            <w:right w:val="none" w:sz="0" w:space="0" w:color="auto"/>
          </w:divBdr>
        </w:div>
        <w:div w:id="1197156846">
          <w:marLeft w:val="0"/>
          <w:marRight w:val="0"/>
          <w:marTop w:val="0"/>
          <w:marBottom w:val="0"/>
          <w:divBdr>
            <w:top w:val="none" w:sz="0" w:space="0" w:color="auto"/>
            <w:left w:val="none" w:sz="0" w:space="0" w:color="auto"/>
            <w:bottom w:val="none" w:sz="0" w:space="0" w:color="auto"/>
            <w:right w:val="none" w:sz="0" w:space="0" w:color="auto"/>
          </w:divBdr>
        </w:div>
        <w:div w:id="1318344470">
          <w:marLeft w:val="0"/>
          <w:marRight w:val="0"/>
          <w:marTop w:val="0"/>
          <w:marBottom w:val="0"/>
          <w:divBdr>
            <w:top w:val="none" w:sz="0" w:space="0" w:color="auto"/>
            <w:left w:val="none" w:sz="0" w:space="0" w:color="auto"/>
            <w:bottom w:val="none" w:sz="0" w:space="0" w:color="auto"/>
            <w:right w:val="none" w:sz="0" w:space="0" w:color="auto"/>
          </w:divBdr>
        </w:div>
        <w:div w:id="1326859993">
          <w:marLeft w:val="0"/>
          <w:marRight w:val="0"/>
          <w:marTop w:val="0"/>
          <w:marBottom w:val="0"/>
          <w:divBdr>
            <w:top w:val="none" w:sz="0" w:space="0" w:color="auto"/>
            <w:left w:val="none" w:sz="0" w:space="0" w:color="auto"/>
            <w:bottom w:val="none" w:sz="0" w:space="0" w:color="auto"/>
            <w:right w:val="none" w:sz="0" w:space="0" w:color="auto"/>
          </w:divBdr>
        </w:div>
        <w:div w:id="1332760069">
          <w:marLeft w:val="0"/>
          <w:marRight w:val="0"/>
          <w:marTop w:val="0"/>
          <w:marBottom w:val="0"/>
          <w:divBdr>
            <w:top w:val="none" w:sz="0" w:space="0" w:color="auto"/>
            <w:left w:val="none" w:sz="0" w:space="0" w:color="auto"/>
            <w:bottom w:val="none" w:sz="0" w:space="0" w:color="auto"/>
            <w:right w:val="none" w:sz="0" w:space="0" w:color="auto"/>
          </w:divBdr>
        </w:div>
        <w:div w:id="1338339233">
          <w:marLeft w:val="0"/>
          <w:marRight w:val="0"/>
          <w:marTop w:val="0"/>
          <w:marBottom w:val="0"/>
          <w:divBdr>
            <w:top w:val="none" w:sz="0" w:space="0" w:color="auto"/>
            <w:left w:val="none" w:sz="0" w:space="0" w:color="auto"/>
            <w:bottom w:val="none" w:sz="0" w:space="0" w:color="auto"/>
            <w:right w:val="none" w:sz="0" w:space="0" w:color="auto"/>
          </w:divBdr>
        </w:div>
        <w:div w:id="1383823087">
          <w:marLeft w:val="0"/>
          <w:marRight w:val="0"/>
          <w:marTop w:val="0"/>
          <w:marBottom w:val="0"/>
          <w:divBdr>
            <w:top w:val="none" w:sz="0" w:space="0" w:color="auto"/>
            <w:left w:val="none" w:sz="0" w:space="0" w:color="auto"/>
            <w:bottom w:val="none" w:sz="0" w:space="0" w:color="auto"/>
            <w:right w:val="none" w:sz="0" w:space="0" w:color="auto"/>
          </w:divBdr>
        </w:div>
        <w:div w:id="1402099629">
          <w:marLeft w:val="0"/>
          <w:marRight w:val="0"/>
          <w:marTop w:val="0"/>
          <w:marBottom w:val="0"/>
          <w:divBdr>
            <w:top w:val="none" w:sz="0" w:space="0" w:color="auto"/>
            <w:left w:val="none" w:sz="0" w:space="0" w:color="auto"/>
            <w:bottom w:val="none" w:sz="0" w:space="0" w:color="auto"/>
            <w:right w:val="none" w:sz="0" w:space="0" w:color="auto"/>
          </w:divBdr>
        </w:div>
        <w:div w:id="1438870749">
          <w:marLeft w:val="0"/>
          <w:marRight w:val="0"/>
          <w:marTop w:val="0"/>
          <w:marBottom w:val="0"/>
          <w:divBdr>
            <w:top w:val="none" w:sz="0" w:space="0" w:color="auto"/>
            <w:left w:val="none" w:sz="0" w:space="0" w:color="auto"/>
            <w:bottom w:val="none" w:sz="0" w:space="0" w:color="auto"/>
            <w:right w:val="none" w:sz="0" w:space="0" w:color="auto"/>
          </w:divBdr>
        </w:div>
        <w:div w:id="1541822849">
          <w:marLeft w:val="0"/>
          <w:marRight w:val="0"/>
          <w:marTop w:val="0"/>
          <w:marBottom w:val="0"/>
          <w:divBdr>
            <w:top w:val="none" w:sz="0" w:space="0" w:color="auto"/>
            <w:left w:val="none" w:sz="0" w:space="0" w:color="auto"/>
            <w:bottom w:val="none" w:sz="0" w:space="0" w:color="auto"/>
            <w:right w:val="none" w:sz="0" w:space="0" w:color="auto"/>
          </w:divBdr>
        </w:div>
        <w:div w:id="1556237492">
          <w:marLeft w:val="0"/>
          <w:marRight w:val="0"/>
          <w:marTop w:val="0"/>
          <w:marBottom w:val="0"/>
          <w:divBdr>
            <w:top w:val="none" w:sz="0" w:space="0" w:color="auto"/>
            <w:left w:val="none" w:sz="0" w:space="0" w:color="auto"/>
            <w:bottom w:val="none" w:sz="0" w:space="0" w:color="auto"/>
            <w:right w:val="none" w:sz="0" w:space="0" w:color="auto"/>
          </w:divBdr>
        </w:div>
        <w:div w:id="1581325994">
          <w:marLeft w:val="0"/>
          <w:marRight w:val="0"/>
          <w:marTop w:val="0"/>
          <w:marBottom w:val="0"/>
          <w:divBdr>
            <w:top w:val="none" w:sz="0" w:space="0" w:color="auto"/>
            <w:left w:val="none" w:sz="0" w:space="0" w:color="auto"/>
            <w:bottom w:val="none" w:sz="0" w:space="0" w:color="auto"/>
            <w:right w:val="none" w:sz="0" w:space="0" w:color="auto"/>
          </w:divBdr>
        </w:div>
        <w:div w:id="1590382552">
          <w:marLeft w:val="0"/>
          <w:marRight w:val="0"/>
          <w:marTop w:val="0"/>
          <w:marBottom w:val="0"/>
          <w:divBdr>
            <w:top w:val="none" w:sz="0" w:space="0" w:color="auto"/>
            <w:left w:val="none" w:sz="0" w:space="0" w:color="auto"/>
            <w:bottom w:val="none" w:sz="0" w:space="0" w:color="auto"/>
            <w:right w:val="none" w:sz="0" w:space="0" w:color="auto"/>
          </w:divBdr>
        </w:div>
        <w:div w:id="1632638935">
          <w:marLeft w:val="0"/>
          <w:marRight w:val="0"/>
          <w:marTop w:val="0"/>
          <w:marBottom w:val="0"/>
          <w:divBdr>
            <w:top w:val="none" w:sz="0" w:space="0" w:color="auto"/>
            <w:left w:val="none" w:sz="0" w:space="0" w:color="auto"/>
            <w:bottom w:val="none" w:sz="0" w:space="0" w:color="auto"/>
            <w:right w:val="none" w:sz="0" w:space="0" w:color="auto"/>
          </w:divBdr>
        </w:div>
        <w:div w:id="1730573516">
          <w:marLeft w:val="0"/>
          <w:marRight w:val="0"/>
          <w:marTop w:val="0"/>
          <w:marBottom w:val="0"/>
          <w:divBdr>
            <w:top w:val="none" w:sz="0" w:space="0" w:color="auto"/>
            <w:left w:val="none" w:sz="0" w:space="0" w:color="auto"/>
            <w:bottom w:val="none" w:sz="0" w:space="0" w:color="auto"/>
            <w:right w:val="none" w:sz="0" w:space="0" w:color="auto"/>
          </w:divBdr>
        </w:div>
        <w:div w:id="1758399093">
          <w:marLeft w:val="0"/>
          <w:marRight w:val="0"/>
          <w:marTop w:val="0"/>
          <w:marBottom w:val="0"/>
          <w:divBdr>
            <w:top w:val="none" w:sz="0" w:space="0" w:color="auto"/>
            <w:left w:val="none" w:sz="0" w:space="0" w:color="auto"/>
            <w:bottom w:val="none" w:sz="0" w:space="0" w:color="auto"/>
            <w:right w:val="none" w:sz="0" w:space="0" w:color="auto"/>
          </w:divBdr>
        </w:div>
        <w:div w:id="1890070477">
          <w:marLeft w:val="0"/>
          <w:marRight w:val="0"/>
          <w:marTop w:val="0"/>
          <w:marBottom w:val="0"/>
          <w:divBdr>
            <w:top w:val="none" w:sz="0" w:space="0" w:color="auto"/>
            <w:left w:val="none" w:sz="0" w:space="0" w:color="auto"/>
            <w:bottom w:val="none" w:sz="0" w:space="0" w:color="auto"/>
            <w:right w:val="none" w:sz="0" w:space="0" w:color="auto"/>
          </w:divBdr>
        </w:div>
        <w:div w:id="1939633512">
          <w:marLeft w:val="0"/>
          <w:marRight w:val="0"/>
          <w:marTop w:val="0"/>
          <w:marBottom w:val="0"/>
          <w:divBdr>
            <w:top w:val="none" w:sz="0" w:space="0" w:color="auto"/>
            <w:left w:val="none" w:sz="0" w:space="0" w:color="auto"/>
            <w:bottom w:val="none" w:sz="0" w:space="0" w:color="auto"/>
            <w:right w:val="none" w:sz="0" w:space="0" w:color="auto"/>
          </w:divBdr>
        </w:div>
        <w:div w:id="1996303355">
          <w:marLeft w:val="0"/>
          <w:marRight w:val="0"/>
          <w:marTop w:val="0"/>
          <w:marBottom w:val="0"/>
          <w:divBdr>
            <w:top w:val="none" w:sz="0" w:space="0" w:color="auto"/>
            <w:left w:val="none" w:sz="0" w:space="0" w:color="auto"/>
            <w:bottom w:val="none" w:sz="0" w:space="0" w:color="auto"/>
            <w:right w:val="none" w:sz="0" w:space="0" w:color="auto"/>
          </w:divBdr>
        </w:div>
        <w:div w:id="2000159276">
          <w:marLeft w:val="0"/>
          <w:marRight w:val="0"/>
          <w:marTop w:val="0"/>
          <w:marBottom w:val="0"/>
          <w:divBdr>
            <w:top w:val="none" w:sz="0" w:space="0" w:color="auto"/>
            <w:left w:val="none" w:sz="0" w:space="0" w:color="auto"/>
            <w:bottom w:val="none" w:sz="0" w:space="0" w:color="auto"/>
            <w:right w:val="none" w:sz="0" w:space="0" w:color="auto"/>
          </w:divBdr>
        </w:div>
        <w:div w:id="2024473884">
          <w:marLeft w:val="0"/>
          <w:marRight w:val="0"/>
          <w:marTop w:val="0"/>
          <w:marBottom w:val="0"/>
          <w:divBdr>
            <w:top w:val="none" w:sz="0" w:space="0" w:color="auto"/>
            <w:left w:val="none" w:sz="0" w:space="0" w:color="auto"/>
            <w:bottom w:val="none" w:sz="0" w:space="0" w:color="auto"/>
            <w:right w:val="none" w:sz="0" w:space="0" w:color="auto"/>
          </w:divBdr>
        </w:div>
        <w:div w:id="2043282100">
          <w:marLeft w:val="0"/>
          <w:marRight w:val="0"/>
          <w:marTop w:val="0"/>
          <w:marBottom w:val="0"/>
          <w:divBdr>
            <w:top w:val="none" w:sz="0" w:space="0" w:color="auto"/>
            <w:left w:val="none" w:sz="0" w:space="0" w:color="auto"/>
            <w:bottom w:val="none" w:sz="0" w:space="0" w:color="auto"/>
            <w:right w:val="none" w:sz="0" w:space="0" w:color="auto"/>
          </w:divBdr>
        </w:div>
        <w:div w:id="2051226041">
          <w:marLeft w:val="0"/>
          <w:marRight w:val="0"/>
          <w:marTop w:val="0"/>
          <w:marBottom w:val="0"/>
          <w:divBdr>
            <w:top w:val="none" w:sz="0" w:space="0" w:color="auto"/>
            <w:left w:val="none" w:sz="0" w:space="0" w:color="auto"/>
            <w:bottom w:val="none" w:sz="0" w:space="0" w:color="auto"/>
            <w:right w:val="none" w:sz="0" w:space="0" w:color="auto"/>
          </w:divBdr>
        </w:div>
        <w:div w:id="2119375813">
          <w:marLeft w:val="0"/>
          <w:marRight w:val="0"/>
          <w:marTop w:val="0"/>
          <w:marBottom w:val="0"/>
          <w:divBdr>
            <w:top w:val="none" w:sz="0" w:space="0" w:color="auto"/>
            <w:left w:val="none" w:sz="0" w:space="0" w:color="auto"/>
            <w:bottom w:val="none" w:sz="0" w:space="0" w:color="auto"/>
            <w:right w:val="none" w:sz="0" w:space="0" w:color="auto"/>
          </w:divBdr>
        </w:div>
        <w:div w:id="2129077997">
          <w:marLeft w:val="0"/>
          <w:marRight w:val="0"/>
          <w:marTop w:val="0"/>
          <w:marBottom w:val="0"/>
          <w:divBdr>
            <w:top w:val="none" w:sz="0" w:space="0" w:color="auto"/>
            <w:left w:val="none" w:sz="0" w:space="0" w:color="auto"/>
            <w:bottom w:val="none" w:sz="0" w:space="0" w:color="auto"/>
            <w:right w:val="none" w:sz="0" w:space="0" w:color="auto"/>
          </w:divBdr>
        </w:div>
      </w:divsChild>
    </w:div>
    <w:div w:id="849367256">
      <w:bodyDiv w:val="1"/>
      <w:marLeft w:val="0"/>
      <w:marRight w:val="0"/>
      <w:marTop w:val="0"/>
      <w:marBottom w:val="0"/>
      <w:divBdr>
        <w:top w:val="none" w:sz="0" w:space="0" w:color="auto"/>
        <w:left w:val="none" w:sz="0" w:space="0" w:color="auto"/>
        <w:bottom w:val="none" w:sz="0" w:space="0" w:color="auto"/>
        <w:right w:val="none" w:sz="0" w:space="0" w:color="auto"/>
      </w:divBdr>
      <w:divsChild>
        <w:div w:id="1107047453">
          <w:marLeft w:val="0"/>
          <w:marRight w:val="0"/>
          <w:marTop w:val="0"/>
          <w:marBottom w:val="0"/>
          <w:divBdr>
            <w:top w:val="none" w:sz="0" w:space="0" w:color="auto"/>
            <w:left w:val="none" w:sz="0" w:space="0" w:color="auto"/>
            <w:bottom w:val="none" w:sz="0" w:space="0" w:color="auto"/>
            <w:right w:val="none" w:sz="0" w:space="0" w:color="auto"/>
          </w:divBdr>
        </w:div>
        <w:div w:id="1199900317">
          <w:marLeft w:val="0"/>
          <w:marRight w:val="0"/>
          <w:marTop w:val="0"/>
          <w:marBottom w:val="0"/>
          <w:divBdr>
            <w:top w:val="none" w:sz="0" w:space="0" w:color="auto"/>
            <w:left w:val="none" w:sz="0" w:space="0" w:color="auto"/>
            <w:bottom w:val="none" w:sz="0" w:space="0" w:color="auto"/>
            <w:right w:val="none" w:sz="0" w:space="0" w:color="auto"/>
          </w:divBdr>
        </w:div>
        <w:div w:id="1503818532">
          <w:marLeft w:val="0"/>
          <w:marRight w:val="0"/>
          <w:marTop w:val="0"/>
          <w:marBottom w:val="0"/>
          <w:divBdr>
            <w:top w:val="none" w:sz="0" w:space="0" w:color="auto"/>
            <w:left w:val="none" w:sz="0" w:space="0" w:color="auto"/>
            <w:bottom w:val="none" w:sz="0" w:space="0" w:color="auto"/>
            <w:right w:val="none" w:sz="0" w:space="0" w:color="auto"/>
          </w:divBdr>
        </w:div>
        <w:div w:id="1644192456">
          <w:marLeft w:val="0"/>
          <w:marRight w:val="0"/>
          <w:marTop w:val="0"/>
          <w:marBottom w:val="0"/>
          <w:divBdr>
            <w:top w:val="none" w:sz="0" w:space="0" w:color="auto"/>
            <w:left w:val="none" w:sz="0" w:space="0" w:color="auto"/>
            <w:bottom w:val="none" w:sz="0" w:space="0" w:color="auto"/>
            <w:right w:val="none" w:sz="0" w:space="0" w:color="auto"/>
          </w:divBdr>
        </w:div>
        <w:div w:id="1744253570">
          <w:marLeft w:val="0"/>
          <w:marRight w:val="0"/>
          <w:marTop w:val="0"/>
          <w:marBottom w:val="0"/>
          <w:divBdr>
            <w:top w:val="none" w:sz="0" w:space="0" w:color="auto"/>
            <w:left w:val="none" w:sz="0" w:space="0" w:color="auto"/>
            <w:bottom w:val="none" w:sz="0" w:space="0" w:color="auto"/>
            <w:right w:val="none" w:sz="0" w:space="0" w:color="auto"/>
          </w:divBdr>
        </w:div>
      </w:divsChild>
    </w:div>
    <w:div w:id="852231913">
      <w:bodyDiv w:val="1"/>
      <w:marLeft w:val="0"/>
      <w:marRight w:val="0"/>
      <w:marTop w:val="0"/>
      <w:marBottom w:val="0"/>
      <w:divBdr>
        <w:top w:val="none" w:sz="0" w:space="0" w:color="auto"/>
        <w:left w:val="none" w:sz="0" w:space="0" w:color="auto"/>
        <w:bottom w:val="none" w:sz="0" w:space="0" w:color="auto"/>
        <w:right w:val="none" w:sz="0" w:space="0" w:color="auto"/>
      </w:divBdr>
    </w:div>
    <w:div w:id="861087648">
      <w:bodyDiv w:val="1"/>
      <w:marLeft w:val="0"/>
      <w:marRight w:val="0"/>
      <w:marTop w:val="0"/>
      <w:marBottom w:val="0"/>
      <w:divBdr>
        <w:top w:val="none" w:sz="0" w:space="0" w:color="auto"/>
        <w:left w:val="none" w:sz="0" w:space="0" w:color="auto"/>
        <w:bottom w:val="none" w:sz="0" w:space="0" w:color="auto"/>
        <w:right w:val="none" w:sz="0" w:space="0" w:color="auto"/>
      </w:divBdr>
    </w:div>
    <w:div w:id="878132404">
      <w:bodyDiv w:val="1"/>
      <w:marLeft w:val="0"/>
      <w:marRight w:val="0"/>
      <w:marTop w:val="0"/>
      <w:marBottom w:val="0"/>
      <w:divBdr>
        <w:top w:val="none" w:sz="0" w:space="0" w:color="auto"/>
        <w:left w:val="none" w:sz="0" w:space="0" w:color="auto"/>
        <w:bottom w:val="none" w:sz="0" w:space="0" w:color="auto"/>
        <w:right w:val="none" w:sz="0" w:space="0" w:color="auto"/>
      </w:divBdr>
      <w:divsChild>
        <w:div w:id="127549057">
          <w:marLeft w:val="0"/>
          <w:marRight w:val="0"/>
          <w:marTop w:val="0"/>
          <w:marBottom w:val="0"/>
          <w:divBdr>
            <w:top w:val="none" w:sz="0" w:space="0" w:color="auto"/>
            <w:left w:val="none" w:sz="0" w:space="0" w:color="auto"/>
            <w:bottom w:val="none" w:sz="0" w:space="0" w:color="auto"/>
            <w:right w:val="none" w:sz="0" w:space="0" w:color="auto"/>
          </w:divBdr>
        </w:div>
        <w:div w:id="152642297">
          <w:marLeft w:val="0"/>
          <w:marRight w:val="0"/>
          <w:marTop w:val="0"/>
          <w:marBottom w:val="0"/>
          <w:divBdr>
            <w:top w:val="none" w:sz="0" w:space="0" w:color="auto"/>
            <w:left w:val="none" w:sz="0" w:space="0" w:color="auto"/>
            <w:bottom w:val="none" w:sz="0" w:space="0" w:color="auto"/>
            <w:right w:val="none" w:sz="0" w:space="0" w:color="auto"/>
          </w:divBdr>
        </w:div>
        <w:div w:id="1780179268">
          <w:marLeft w:val="0"/>
          <w:marRight w:val="0"/>
          <w:marTop w:val="0"/>
          <w:marBottom w:val="0"/>
          <w:divBdr>
            <w:top w:val="none" w:sz="0" w:space="0" w:color="auto"/>
            <w:left w:val="none" w:sz="0" w:space="0" w:color="auto"/>
            <w:bottom w:val="none" w:sz="0" w:space="0" w:color="auto"/>
            <w:right w:val="none" w:sz="0" w:space="0" w:color="auto"/>
          </w:divBdr>
        </w:div>
      </w:divsChild>
    </w:div>
    <w:div w:id="939217652">
      <w:bodyDiv w:val="1"/>
      <w:marLeft w:val="0"/>
      <w:marRight w:val="0"/>
      <w:marTop w:val="0"/>
      <w:marBottom w:val="0"/>
      <w:divBdr>
        <w:top w:val="none" w:sz="0" w:space="0" w:color="auto"/>
        <w:left w:val="none" w:sz="0" w:space="0" w:color="auto"/>
        <w:bottom w:val="none" w:sz="0" w:space="0" w:color="auto"/>
        <w:right w:val="none" w:sz="0" w:space="0" w:color="auto"/>
      </w:divBdr>
      <w:divsChild>
        <w:div w:id="538475283">
          <w:marLeft w:val="0"/>
          <w:marRight w:val="0"/>
          <w:marTop w:val="0"/>
          <w:marBottom w:val="0"/>
          <w:divBdr>
            <w:top w:val="single" w:sz="2" w:space="0" w:color="auto"/>
            <w:left w:val="single" w:sz="2" w:space="0" w:color="auto"/>
            <w:bottom w:val="single" w:sz="2" w:space="0" w:color="auto"/>
            <w:right w:val="single" w:sz="2" w:space="0" w:color="auto"/>
          </w:divBdr>
          <w:divsChild>
            <w:div w:id="440540837">
              <w:marLeft w:val="0"/>
              <w:marRight w:val="0"/>
              <w:marTop w:val="0"/>
              <w:marBottom w:val="0"/>
              <w:divBdr>
                <w:top w:val="single" w:sz="2" w:space="0" w:color="auto"/>
                <w:left w:val="single" w:sz="2" w:space="0" w:color="auto"/>
                <w:bottom w:val="single" w:sz="2" w:space="0" w:color="auto"/>
                <w:right w:val="single" w:sz="2" w:space="0" w:color="auto"/>
              </w:divBdr>
            </w:div>
          </w:divsChild>
        </w:div>
        <w:div w:id="1808012910">
          <w:marLeft w:val="0"/>
          <w:marRight w:val="0"/>
          <w:marTop w:val="0"/>
          <w:marBottom w:val="0"/>
          <w:divBdr>
            <w:top w:val="single" w:sz="2" w:space="0" w:color="auto"/>
            <w:left w:val="single" w:sz="2" w:space="0" w:color="auto"/>
            <w:bottom w:val="single" w:sz="2" w:space="0" w:color="auto"/>
            <w:right w:val="single" w:sz="2" w:space="0" w:color="auto"/>
          </w:divBdr>
          <w:divsChild>
            <w:div w:id="834494267">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 w:id="960066737">
      <w:bodyDiv w:val="1"/>
      <w:marLeft w:val="0"/>
      <w:marRight w:val="0"/>
      <w:marTop w:val="0"/>
      <w:marBottom w:val="0"/>
      <w:divBdr>
        <w:top w:val="none" w:sz="0" w:space="0" w:color="auto"/>
        <w:left w:val="none" w:sz="0" w:space="0" w:color="auto"/>
        <w:bottom w:val="none" w:sz="0" w:space="0" w:color="auto"/>
        <w:right w:val="none" w:sz="0" w:space="0" w:color="auto"/>
      </w:divBdr>
    </w:div>
    <w:div w:id="962811981">
      <w:bodyDiv w:val="1"/>
      <w:marLeft w:val="0"/>
      <w:marRight w:val="0"/>
      <w:marTop w:val="0"/>
      <w:marBottom w:val="0"/>
      <w:divBdr>
        <w:top w:val="none" w:sz="0" w:space="0" w:color="auto"/>
        <w:left w:val="none" w:sz="0" w:space="0" w:color="auto"/>
        <w:bottom w:val="none" w:sz="0" w:space="0" w:color="auto"/>
        <w:right w:val="none" w:sz="0" w:space="0" w:color="auto"/>
      </w:divBdr>
    </w:div>
    <w:div w:id="966930688">
      <w:bodyDiv w:val="1"/>
      <w:marLeft w:val="0"/>
      <w:marRight w:val="0"/>
      <w:marTop w:val="0"/>
      <w:marBottom w:val="0"/>
      <w:divBdr>
        <w:top w:val="none" w:sz="0" w:space="0" w:color="auto"/>
        <w:left w:val="none" w:sz="0" w:space="0" w:color="auto"/>
        <w:bottom w:val="none" w:sz="0" w:space="0" w:color="auto"/>
        <w:right w:val="none" w:sz="0" w:space="0" w:color="auto"/>
      </w:divBdr>
    </w:div>
    <w:div w:id="971130041">
      <w:bodyDiv w:val="1"/>
      <w:marLeft w:val="0"/>
      <w:marRight w:val="0"/>
      <w:marTop w:val="0"/>
      <w:marBottom w:val="0"/>
      <w:divBdr>
        <w:top w:val="none" w:sz="0" w:space="0" w:color="auto"/>
        <w:left w:val="none" w:sz="0" w:space="0" w:color="auto"/>
        <w:bottom w:val="none" w:sz="0" w:space="0" w:color="auto"/>
        <w:right w:val="none" w:sz="0" w:space="0" w:color="auto"/>
      </w:divBdr>
      <w:divsChild>
        <w:div w:id="369652023">
          <w:marLeft w:val="0"/>
          <w:marRight w:val="0"/>
          <w:marTop w:val="0"/>
          <w:marBottom w:val="0"/>
          <w:divBdr>
            <w:top w:val="none" w:sz="0" w:space="0" w:color="auto"/>
            <w:left w:val="none" w:sz="0" w:space="0" w:color="auto"/>
            <w:bottom w:val="none" w:sz="0" w:space="0" w:color="auto"/>
            <w:right w:val="none" w:sz="0" w:space="0" w:color="auto"/>
          </w:divBdr>
        </w:div>
        <w:div w:id="1661349144">
          <w:marLeft w:val="0"/>
          <w:marRight w:val="0"/>
          <w:marTop w:val="0"/>
          <w:marBottom w:val="0"/>
          <w:divBdr>
            <w:top w:val="none" w:sz="0" w:space="0" w:color="auto"/>
            <w:left w:val="none" w:sz="0" w:space="0" w:color="auto"/>
            <w:bottom w:val="none" w:sz="0" w:space="0" w:color="auto"/>
            <w:right w:val="none" w:sz="0" w:space="0" w:color="auto"/>
          </w:divBdr>
        </w:div>
        <w:div w:id="1857618190">
          <w:marLeft w:val="0"/>
          <w:marRight w:val="0"/>
          <w:marTop w:val="0"/>
          <w:marBottom w:val="0"/>
          <w:divBdr>
            <w:top w:val="none" w:sz="0" w:space="0" w:color="auto"/>
            <w:left w:val="none" w:sz="0" w:space="0" w:color="auto"/>
            <w:bottom w:val="none" w:sz="0" w:space="0" w:color="auto"/>
            <w:right w:val="none" w:sz="0" w:space="0" w:color="auto"/>
          </w:divBdr>
        </w:div>
        <w:div w:id="1909146667">
          <w:marLeft w:val="0"/>
          <w:marRight w:val="0"/>
          <w:marTop w:val="0"/>
          <w:marBottom w:val="0"/>
          <w:divBdr>
            <w:top w:val="none" w:sz="0" w:space="0" w:color="auto"/>
            <w:left w:val="none" w:sz="0" w:space="0" w:color="auto"/>
            <w:bottom w:val="none" w:sz="0" w:space="0" w:color="auto"/>
            <w:right w:val="none" w:sz="0" w:space="0" w:color="auto"/>
          </w:divBdr>
        </w:div>
      </w:divsChild>
    </w:div>
    <w:div w:id="988899925">
      <w:bodyDiv w:val="1"/>
      <w:marLeft w:val="0"/>
      <w:marRight w:val="0"/>
      <w:marTop w:val="0"/>
      <w:marBottom w:val="0"/>
      <w:divBdr>
        <w:top w:val="none" w:sz="0" w:space="0" w:color="auto"/>
        <w:left w:val="none" w:sz="0" w:space="0" w:color="auto"/>
        <w:bottom w:val="none" w:sz="0" w:space="0" w:color="auto"/>
        <w:right w:val="none" w:sz="0" w:space="0" w:color="auto"/>
      </w:divBdr>
    </w:div>
    <w:div w:id="989939498">
      <w:bodyDiv w:val="1"/>
      <w:marLeft w:val="0"/>
      <w:marRight w:val="0"/>
      <w:marTop w:val="0"/>
      <w:marBottom w:val="0"/>
      <w:divBdr>
        <w:top w:val="none" w:sz="0" w:space="0" w:color="auto"/>
        <w:left w:val="none" w:sz="0" w:space="0" w:color="auto"/>
        <w:bottom w:val="none" w:sz="0" w:space="0" w:color="auto"/>
        <w:right w:val="none" w:sz="0" w:space="0" w:color="auto"/>
      </w:divBdr>
    </w:div>
    <w:div w:id="1002391385">
      <w:bodyDiv w:val="1"/>
      <w:marLeft w:val="0"/>
      <w:marRight w:val="0"/>
      <w:marTop w:val="0"/>
      <w:marBottom w:val="0"/>
      <w:divBdr>
        <w:top w:val="none" w:sz="0" w:space="0" w:color="auto"/>
        <w:left w:val="none" w:sz="0" w:space="0" w:color="auto"/>
        <w:bottom w:val="none" w:sz="0" w:space="0" w:color="auto"/>
        <w:right w:val="none" w:sz="0" w:space="0" w:color="auto"/>
      </w:divBdr>
      <w:divsChild>
        <w:div w:id="440029024">
          <w:marLeft w:val="0"/>
          <w:marRight w:val="0"/>
          <w:marTop w:val="0"/>
          <w:marBottom w:val="0"/>
          <w:divBdr>
            <w:top w:val="none" w:sz="0" w:space="0" w:color="auto"/>
            <w:left w:val="none" w:sz="0" w:space="0" w:color="auto"/>
            <w:bottom w:val="none" w:sz="0" w:space="0" w:color="auto"/>
            <w:right w:val="none" w:sz="0" w:space="0" w:color="auto"/>
          </w:divBdr>
          <w:divsChild>
            <w:div w:id="300770344">
              <w:marLeft w:val="0"/>
              <w:marRight w:val="0"/>
              <w:marTop w:val="0"/>
              <w:marBottom w:val="0"/>
              <w:divBdr>
                <w:top w:val="none" w:sz="0" w:space="0" w:color="auto"/>
                <w:left w:val="none" w:sz="0" w:space="0" w:color="auto"/>
                <w:bottom w:val="none" w:sz="0" w:space="0" w:color="auto"/>
                <w:right w:val="none" w:sz="0" w:space="0" w:color="auto"/>
              </w:divBdr>
              <w:divsChild>
                <w:div w:id="1021592287">
                  <w:marLeft w:val="0"/>
                  <w:marRight w:val="0"/>
                  <w:marTop w:val="0"/>
                  <w:marBottom w:val="0"/>
                  <w:divBdr>
                    <w:top w:val="none" w:sz="0" w:space="0" w:color="auto"/>
                    <w:left w:val="none" w:sz="0" w:space="0" w:color="auto"/>
                    <w:bottom w:val="none" w:sz="0" w:space="0" w:color="auto"/>
                    <w:right w:val="none" w:sz="0" w:space="0" w:color="auto"/>
                  </w:divBdr>
                </w:div>
              </w:divsChild>
            </w:div>
            <w:div w:id="805123588">
              <w:marLeft w:val="0"/>
              <w:marRight w:val="0"/>
              <w:marTop w:val="0"/>
              <w:marBottom w:val="0"/>
              <w:divBdr>
                <w:top w:val="none" w:sz="0" w:space="0" w:color="auto"/>
                <w:left w:val="none" w:sz="0" w:space="0" w:color="auto"/>
                <w:bottom w:val="none" w:sz="0" w:space="0" w:color="auto"/>
                <w:right w:val="none" w:sz="0" w:space="0" w:color="auto"/>
              </w:divBdr>
              <w:divsChild>
                <w:div w:id="1163550057">
                  <w:marLeft w:val="0"/>
                  <w:marRight w:val="0"/>
                  <w:marTop w:val="0"/>
                  <w:marBottom w:val="0"/>
                  <w:divBdr>
                    <w:top w:val="none" w:sz="0" w:space="0" w:color="auto"/>
                    <w:left w:val="none" w:sz="0" w:space="0" w:color="auto"/>
                    <w:bottom w:val="none" w:sz="0" w:space="0" w:color="auto"/>
                    <w:right w:val="none" w:sz="0" w:space="0" w:color="auto"/>
                  </w:divBdr>
                </w:div>
              </w:divsChild>
            </w:div>
            <w:div w:id="1907032135">
              <w:marLeft w:val="0"/>
              <w:marRight w:val="0"/>
              <w:marTop w:val="0"/>
              <w:marBottom w:val="0"/>
              <w:divBdr>
                <w:top w:val="none" w:sz="0" w:space="0" w:color="auto"/>
                <w:left w:val="none" w:sz="0" w:space="0" w:color="auto"/>
                <w:bottom w:val="none" w:sz="0" w:space="0" w:color="auto"/>
                <w:right w:val="none" w:sz="0" w:space="0" w:color="auto"/>
              </w:divBdr>
              <w:divsChild>
                <w:div w:id="2115830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2976504">
      <w:bodyDiv w:val="1"/>
      <w:marLeft w:val="0"/>
      <w:marRight w:val="0"/>
      <w:marTop w:val="0"/>
      <w:marBottom w:val="0"/>
      <w:divBdr>
        <w:top w:val="none" w:sz="0" w:space="0" w:color="auto"/>
        <w:left w:val="none" w:sz="0" w:space="0" w:color="auto"/>
        <w:bottom w:val="none" w:sz="0" w:space="0" w:color="auto"/>
        <w:right w:val="none" w:sz="0" w:space="0" w:color="auto"/>
      </w:divBdr>
      <w:divsChild>
        <w:div w:id="944535709">
          <w:marLeft w:val="0"/>
          <w:marRight w:val="0"/>
          <w:marTop w:val="0"/>
          <w:marBottom w:val="0"/>
          <w:divBdr>
            <w:top w:val="none" w:sz="0" w:space="0" w:color="auto"/>
            <w:left w:val="none" w:sz="0" w:space="0" w:color="auto"/>
            <w:bottom w:val="none" w:sz="0" w:space="0" w:color="auto"/>
            <w:right w:val="none" w:sz="0" w:space="0" w:color="auto"/>
          </w:divBdr>
        </w:div>
      </w:divsChild>
    </w:div>
    <w:div w:id="1005017059">
      <w:bodyDiv w:val="1"/>
      <w:marLeft w:val="0"/>
      <w:marRight w:val="0"/>
      <w:marTop w:val="0"/>
      <w:marBottom w:val="0"/>
      <w:divBdr>
        <w:top w:val="none" w:sz="0" w:space="0" w:color="auto"/>
        <w:left w:val="none" w:sz="0" w:space="0" w:color="auto"/>
        <w:bottom w:val="none" w:sz="0" w:space="0" w:color="auto"/>
        <w:right w:val="none" w:sz="0" w:space="0" w:color="auto"/>
      </w:divBdr>
      <w:divsChild>
        <w:div w:id="18238339">
          <w:marLeft w:val="0"/>
          <w:marRight w:val="0"/>
          <w:marTop w:val="0"/>
          <w:marBottom w:val="0"/>
          <w:divBdr>
            <w:top w:val="none" w:sz="0" w:space="0" w:color="auto"/>
            <w:left w:val="none" w:sz="0" w:space="0" w:color="auto"/>
            <w:bottom w:val="none" w:sz="0" w:space="0" w:color="auto"/>
            <w:right w:val="none" w:sz="0" w:space="0" w:color="auto"/>
          </w:divBdr>
        </w:div>
        <w:div w:id="52050674">
          <w:marLeft w:val="0"/>
          <w:marRight w:val="0"/>
          <w:marTop w:val="0"/>
          <w:marBottom w:val="0"/>
          <w:divBdr>
            <w:top w:val="none" w:sz="0" w:space="0" w:color="auto"/>
            <w:left w:val="none" w:sz="0" w:space="0" w:color="auto"/>
            <w:bottom w:val="none" w:sz="0" w:space="0" w:color="auto"/>
            <w:right w:val="none" w:sz="0" w:space="0" w:color="auto"/>
          </w:divBdr>
        </w:div>
        <w:div w:id="122815583">
          <w:marLeft w:val="0"/>
          <w:marRight w:val="0"/>
          <w:marTop w:val="0"/>
          <w:marBottom w:val="0"/>
          <w:divBdr>
            <w:top w:val="none" w:sz="0" w:space="0" w:color="auto"/>
            <w:left w:val="none" w:sz="0" w:space="0" w:color="auto"/>
            <w:bottom w:val="none" w:sz="0" w:space="0" w:color="auto"/>
            <w:right w:val="none" w:sz="0" w:space="0" w:color="auto"/>
          </w:divBdr>
        </w:div>
        <w:div w:id="225386374">
          <w:marLeft w:val="0"/>
          <w:marRight w:val="0"/>
          <w:marTop w:val="0"/>
          <w:marBottom w:val="0"/>
          <w:divBdr>
            <w:top w:val="none" w:sz="0" w:space="0" w:color="auto"/>
            <w:left w:val="none" w:sz="0" w:space="0" w:color="auto"/>
            <w:bottom w:val="none" w:sz="0" w:space="0" w:color="auto"/>
            <w:right w:val="none" w:sz="0" w:space="0" w:color="auto"/>
          </w:divBdr>
        </w:div>
        <w:div w:id="563413170">
          <w:marLeft w:val="0"/>
          <w:marRight w:val="0"/>
          <w:marTop w:val="0"/>
          <w:marBottom w:val="0"/>
          <w:divBdr>
            <w:top w:val="none" w:sz="0" w:space="0" w:color="auto"/>
            <w:left w:val="none" w:sz="0" w:space="0" w:color="auto"/>
            <w:bottom w:val="none" w:sz="0" w:space="0" w:color="auto"/>
            <w:right w:val="none" w:sz="0" w:space="0" w:color="auto"/>
          </w:divBdr>
        </w:div>
        <w:div w:id="752119108">
          <w:marLeft w:val="0"/>
          <w:marRight w:val="0"/>
          <w:marTop w:val="0"/>
          <w:marBottom w:val="0"/>
          <w:divBdr>
            <w:top w:val="none" w:sz="0" w:space="0" w:color="auto"/>
            <w:left w:val="none" w:sz="0" w:space="0" w:color="auto"/>
            <w:bottom w:val="none" w:sz="0" w:space="0" w:color="auto"/>
            <w:right w:val="none" w:sz="0" w:space="0" w:color="auto"/>
          </w:divBdr>
        </w:div>
        <w:div w:id="817112478">
          <w:marLeft w:val="0"/>
          <w:marRight w:val="0"/>
          <w:marTop w:val="0"/>
          <w:marBottom w:val="0"/>
          <w:divBdr>
            <w:top w:val="none" w:sz="0" w:space="0" w:color="auto"/>
            <w:left w:val="none" w:sz="0" w:space="0" w:color="auto"/>
            <w:bottom w:val="none" w:sz="0" w:space="0" w:color="auto"/>
            <w:right w:val="none" w:sz="0" w:space="0" w:color="auto"/>
          </w:divBdr>
        </w:div>
        <w:div w:id="1597981107">
          <w:marLeft w:val="0"/>
          <w:marRight w:val="0"/>
          <w:marTop w:val="0"/>
          <w:marBottom w:val="0"/>
          <w:divBdr>
            <w:top w:val="none" w:sz="0" w:space="0" w:color="auto"/>
            <w:left w:val="none" w:sz="0" w:space="0" w:color="auto"/>
            <w:bottom w:val="none" w:sz="0" w:space="0" w:color="auto"/>
            <w:right w:val="none" w:sz="0" w:space="0" w:color="auto"/>
          </w:divBdr>
        </w:div>
        <w:div w:id="1757937688">
          <w:marLeft w:val="0"/>
          <w:marRight w:val="0"/>
          <w:marTop w:val="0"/>
          <w:marBottom w:val="0"/>
          <w:divBdr>
            <w:top w:val="none" w:sz="0" w:space="0" w:color="auto"/>
            <w:left w:val="none" w:sz="0" w:space="0" w:color="auto"/>
            <w:bottom w:val="none" w:sz="0" w:space="0" w:color="auto"/>
            <w:right w:val="none" w:sz="0" w:space="0" w:color="auto"/>
          </w:divBdr>
        </w:div>
        <w:div w:id="1844661209">
          <w:marLeft w:val="0"/>
          <w:marRight w:val="0"/>
          <w:marTop w:val="0"/>
          <w:marBottom w:val="0"/>
          <w:divBdr>
            <w:top w:val="none" w:sz="0" w:space="0" w:color="auto"/>
            <w:left w:val="none" w:sz="0" w:space="0" w:color="auto"/>
            <w:bottom w:val="none" w:sz="0" w:space="0" w:color="auto"/>
            <w:right w:val="none" w:sz="0" w:space="0" w:color="auto"/>
          </w:divBdr>
        </w:div>
        <w:div w:id="1916014169">
          <w:marLeft w:val="0"/>
          <w:marRight w:val="0"/>
          <w:marTop w:val="0"/>
          <w:marBottom w:val="0"/>
          <w:divBdr>
            <w:top w:val="none" w:sz="0" w:space="0" w:color="auto"/>
            <w:left w:val="none" w:sz="0" w:space="0" w:color="auto"/>
            <w:bottom w:val="none" w:sz="0" w:space="0" w:color="auto"/>
            <w:right w:val="none" w:sz="0" w:space="0" w:color="auto"/>
          </w:divBdr>
        </w:div>
        <w:div w:id="1991054694">
          <w:marLeft w:val="0"/>
          <w:marRight w:val="0"/>
          <w:marTop w:val="0"/>
          <w:marBottom w:val="0"/>
          <w:divBdr>
            <w:top w:val="none" w:sz="0" w:space="0" w:color="auto"/>
            <w:left w:val="none" w:sz="0" w:space="0" w:color="auto"/>
            <w:bottom w:val="none" w:sz="0" w:space="0" w:color="auto"/>
            <w:right w:val="none" w:sz="0" w:space="0" w:color="auto"/>
          </w:divBdr>
        </w:div>
      </w:divsChild>
    </w:div>
    <w:div w:id="1005283915">
      <w:bodyDiv w:val="1"/>
      <w:marLeft w:val="0"/>
      <w:marRight w:val="0"/>
      <w:marTop w:val="0"/>
      <w:marBottom w:val="0"/>
      <w:divBdr>
        <w:top w:val="none" w:sz="0" w:space="0" w:color="auto"/>
        <w:left w:val="none" w:sz="0" w:space="0" w:color="auto"/>
        <w:bottom w:val="none" w:sz="0" w:space="0" w:color="auto"/>
        <w:right w:val="none" w:sz="0" w:space="0" w:color="auto"/>
      </w:divBdr>
    </w:div>
    <w:div w:id="1022245563">
      <w:bodyDiv w:val="1"/>
      <w:marLeft w:val="0"/>
      <w:marRight w:val="0"/>
      <w:marTop w:val="0"/>
      <w:marBottom w:val="0"/>
      <w:divBdr>
        <w:top w:val="none" w:sz="0" w:space="0" w:color="auto"/>
        <w:left w:val="none" w:sz="0" w:space="0" w:color="auto"/>
        <w:bottom w:val="none" w:sz="0" w:space="0" w:color="auto"/>
        <w:right w:val="none" w:sz="0" w:space="0" w:color="auto"/>
      </w:divBdr>
    </w:div>
    <w:div w:id="1033044829">
      <w:bodyDiv w:val="1"/>
      <w:marLeft w:val="0"/>
      <w:marRight w:val="0"/>
      <w:marTop w:val="0"/>
      <w:marBottom w:val="0"/>
      <w:divBdr>
        <w:top w:val="none" w:sz="0" w:space="0" w:color="auto"/>
        <w:left w:val="none" w:sz="0" w:space="0" w:color="auto"/>
        <w:bottom w:val="none" w:sz="0" w:space="0" w:color="auto"/>
        <w:right w:val="none" w:sz="0" w:space="0" w:color="auto"/>
      </w:divBdr>
      <w:divsChild>
        <w:div w:id="67507820">
          <w:marLeft w:val="0"/>
          <w:marRight w:val="0"/>
          <w:marTop w:val="0"/>
          <w:marBottom w:val="0"/>
          <w:divBdr>
            <w:top w:val="none" w:sz="0" w:space="0" w:color="auto"/>
            <w:left w:val="none" w:sz="0" w:space="0" w:color="auto"/>
            <w:bottom w:val="none" w:sz="0" w:space="0" w:color="auto"/>
            <w:right w:val="none" w:sz="0" w:space="0" w:color="auto"/>
          </w:divBdr>
        </w:div>
        <w:div w:id="304165270">
          <w:marLeft w:val="0"/>
          <w:marRight w:val="0"/>
          <w:marTop w:val="0"/>
          <w:marBottom w:val="0"/>
          <w:divBdr>
            <w:top w:val="none" w:sz="0" w:space="0" w:color="auto"/>
            <w:left w:val="none" w:sz="0" w:space="0" w:color="auto"/>
            <w:bottom w:val="none" w:sz="0" w:space="0" w:color="auto"/>
            <w:right w:val="none" w:sz="0" w:space="0" w:color="auto"/>
          </w:divBdr>
        </w:div>
        <w:div w:id="311566558">
          <w:marLeft w:val="0"/>
          <w:marRight w:val="0"/>
          <w:marTop w:val="0"/>
          <w:marBottom w:val="0"/>
          <w:divBdr>
            <w:top w:val="none" w:sz="0" w:space="0" w:color="auto"/>
            <w:left w:val="none" w:sz="0" w:space="0" w:color="auto"/>
            <w:bottom w:val="none" w:sz="0" w:space="0" w:color="auto"/>
            <w:right w:val="none" w:sz="0" w:space="0" w:color="auto"/>
          </w:divBdr>
        </w:div>
        <w:div w:id="465516523">
          <w:marLeft w:val="0"/>
          <w:marRight w:val="0"/>
          <w:marTop w:val="0"/>
          <w:marBottom w:val="0"/>
          <w:divBdr>
            <w:top w:val="none" w:sz="0" w:space="0" w:color="auto"/>
            <w:left w:val="none" w:sz="0" w:space="0" w:color="auto"/>
            <w:bottom w:val="none" w:sz="0" w:space="0" w:color="auto"/>
            <w:right w:val="none" w:sz="0" w:space="0" w:color="auto"/>
          </w:divBdr>
        </w:div>
        <w:div w:id="692878405">
          <w:marLeft w:val="0"/>
          <w:marRight w:val="0"/>
          <w:marTop w:val="0"/>
          <w:marBottom w:val="0"/>
          <w:divBdr>
            <w:top w:val="none" w:sz="0" w:space="0" w:color="auto"/>
            <w:left w:val="none" w:sz="0" w:space="0" w:color="auto"/>
            <w:bottom w:val="none" w:sz="0" w:space="0" w:color="auto"/>
            <w:right w:val="none" w:sz="0" w:space="0" w:color="auto"/>
          </w:divBdr>
        </w:div>
        <w:div w:id="809444215">
          <w:marLeft w:val="0"/>
          <w:marRight w:val="0"/>
          <w:marTop w:val="0"/>
          <w:marBottom w:val="0"/>
          <w:divBdr>
            <w:top w:val="none" w:sz="0" w:space="0" w:color="auto"/>
            <w:left w:val="none" w:sz="0" w:space="0" w:color="auto"/>
            <w:bottom w:val="none" w:sz="0" w:space="0" w:color="auto"/>
            <w:right w:val="none" w:sz="0" w:space="0" w:color="auto"/>
          </w:divBdr>
        </w:div>
        <w:div w:id="867716815">
          <w:marLeft w:val="0"/>
          <w:marRight w:val="0"/>
          <w:marTop w:val="0"/>
          <w:marBottom w:val="0"/>
          <w:divBdr>
            <w:top w:val="none" w:sz="0" w:space="0" w:color="auto"/>
            <w:left w:val="none" w:sz="0" w:space="0" w:color="auto"/>
            <w:bottom w:val="none" w:sz="0" w:space="0" w:color="auto"/>
            <w:right w:val="none" w:sz="0" w:space="0" w:color="auto"/>
          </w:divBdr>
        </w:div>
        <w:div w:id="897471223">
          <w:marLeft w:val="0"/>
          <w:marRight w:val="0"/>
          <w:marTop w:val="0"/>
          <w:marBottom w:val="0"/>
          <w:divBdr>
            <w:top w:val="none" w:sz="0" w:space="0" w:color="auto"/>
            <w:left w:val="none" w:sz="0" w:space="0" w:color="auto"/>
            <w:bottom w:val="none" w:sz="0" w:space="0" w:color="auto"/>
            <w:right w:val="none" w:sz="0" w:space="0" w:color="auto"/>
          </w:divBdr>
        </w:div>
        <w:div w:id="1115368410">
          <w:marLeft w:val="0"/>
          <w:marRight w:val="0"/>
          <w:marTop w:val="0"/>
          <w:marBottom w:val="0"/>
          <w:divBdr>
            <w:top w:val="none" w:sz="0" w:space="0" w:color="auto"/>
            <w:left w:val="none" w:sz="0" w:space="0" w:color="auto"/>
            <w:bottom w:val="none" w:sz="0" w:space="0" w:color="auto"/>
            <w:right w:val="none" w:sz="0" w:space="0" w:color="auto"/>
          </w:divBdr>
        </w:div>
        <w:div w:id="1164277773">
          <w:marLeft w:val="0"/>
          <w:marRight w:val="0"/>
          <w:marTop w:val="0"/>
          <w:marBottom w:val="0"/>
          <w:divBdr>
            <w:top w:val="none" w:sz="0" w:space="0" w:color="auto"/>
            <w:left w:val="none" w:sz="0" w:space="0" w:color="auto"/>
            <w:bottom w:val="none" w:sz="0" w:space="0" w:color="auto"/>
            <w:right w:val="none" w:sz="0" w:space="0" w:color="auto"/>
          </w:divBdr>
        </w:div>
        <w:div w:id="1252810697">
          <w:marLeft w:val="0"/>
          <w:marRight w:val="0"/>
          <w:marTop w:val="0"/>
          <w:marBottom w:val="0"/>
          <w:divBdr>
            <w:top w:val="none" w:sz="0" w:space="0" w:color="auto"/>
            <w:left w:val="none" w:sz="0" w:space="0" w:color="auto"/>
            <w:bottom w:val="none" w:sz="0" w:space="0" w:color="auto"/>
            <w:right w:val="none" w:sz="0" w:space="0" w:color="auto"/>
          </w:divBdr>
        </w:div>
        <w:div w:id="1336960304">
          <w:marLeft w:val="0"/>
          <w:marRight w:val="0"/>
          <w:marTop w:val="0"/>
          <w:marBottom w:val="0"/>
          <w:divBdr>
            <w:top w:val="none" w:sz="0" w:space="0" w:color="auto"/>
            <w:left w:val="none" w:sz="0" w:space="0" w:color="auto"/>
            <w:bottom w:val="none" w:sz="0" w:space="0" w:color="auto"/>
            <w:right w:val="none" w:sz="0" w:space="0" w:color="auto"/>
          </w:divBdr>
        </w:div>
        <w:div w:id="1344013971">
          <w:marLeft w:val="0"/>
          <w:marRight w:val="0"/>
          <w:marTop w:val="0"/>
          <w:marBottom w:val="0"/>
          <w:divBdr>
            <w:top w:val="none" w:sz="0" w:space="0" w:color="auto"/>
            <w:left w:val="none" w:sz="0" w:space="0" w:color="auto"/>
            <w:bottom w:val="none" w:sz="0" w:space="0" w:color="auto"/>
            <w:right w:val="none" w:sz="0" w:space="0" w:color="auto"/>
          </w:divBdr>
        </w:div>
        <w:div w:id="1468546751">
          <w:marLeft w:val="0"/>
          <w:marRight w:val="0"/>
          <w:marTop w:val="0"/>
          <w:marBottom w:val="0"/>
          <w:divBdr>
            <w:top w:val="none" w:sz="0" w:space="0" w:color="auto"/>
            <w:left w:val="none" w:sz="0" w:space="0" w:color="auto"/>
            <w:bottom w:val="none" w:sz="0" w:space="0" w:color="auto"/>
            <w:right w:val="none" w:sz="0" w:space="0" w:color="auto"/>
          </w:divBdr>
        </w:div>
        <w:div w:id="1517572304">
          <w:marLeft w:val="0"/>
          <w:marRight w:val="0"/>
          <w:marTop w:val="0"/>
          <w:marBottom w:val="0"/>
          <w:divBdr>
            <w:top w:val="none" w:sz="0" w:space="0" w:color="auto"/>
            <w:left w:val="none" w:sz="0" w:space="0" w:color="auto"/>
            <w:bottom w:val="none" w:sz="0" w:space="0" w:color="auto"/>
            <w:right w:val="none" w:sz="0" w:space="0" w:color="auto"/>
          </w:divBdr>
        </w:div>
        <w:div w:id="1710648760">
          <w:marLeft w:val="0"/>
          <w:marRight w:val="0"/>
          <w:marTop w:val="0"/>
          <w:marBottom w:val="0"/>
          <w:divBdr>
            <w:top w:val="none" w:sz="0" w:space="0" w:color="auto"/>
            <w:left w:val="none" w:sz="0" w:space="0" w:color="auto"/>
            <w:bottom w:val="none" w:sz="0" w:space="0" w:color="auto"/>
            <w:right w:val="none" w:sz="0" w:space="0" w:color="auto"/>
          </w:divBdr>
        </w:div>
        <w:div w:id="1988125724">
          <w:marLeft w:val="0"/>
          <w:marRight w:val="0"/>
          <w:marTop w:val="0"/>
          <w:marBottom w:val="0"/>
          <w:divBdr>
            <w:top w:val="none" w:sz="0" w:space="0" w:color="auto"/>
            <w:left w:val="none" w:sz="0" w:space="0" w:color="auto"/>
            <w:bottom w:val="none" w:sz="0" w:space="0" w:color="auto"/>
            <w:right w:val="none" w:sz="0" w:space="0" w:color="auto"/>
          </w:divBdr>
        </w:div>
        <w:div w:id="2031489644">
          <w:marLeft w:val="0"/>
          <w:marRight w:val="0"/>
          <w:marTop w:val="0"/>
          <w:marBottom w:val="0"/>
          <w:divBdr>
            <w:top w:val="none" w:sz="0" w:space="0" w:color="auto"/>
            <w:left w:val="none" w:sz="0" w:space="0" w:color="auto"/>
            <w:bottom w:val="none" w:sz="0" w:space="0" w:color="auto"/>
            <w:right w:val="none" w:sz="0" w:space="0" w:color="auto"/>
          </w:divBdr>
        </w:div>
      </w:divsChild>
    </w:div>
    <w:div w:id="1041511913">
      <w:bodyDiv w:val="1"/>
      <w:marLeft w:val="0"/>
      <w:marRight w:val="0"/>
      <w:marTop w:val="0"/>
      <w:marBottom w:val="0"/>
      <w:divBdr>
        <w:top w:val="none" w:sz="0" w:space="0" w:color="auto"/>
        <w:left w:val="none" w:sz="0" w:space="0" w:color="auto"/>
        <w:bottom w:val="none" w:sz="0" w:space="0" w:color="auto"/>
        <w:right w:val="none" w:sz="0" w:space="0" w:color="auto"/>
      </w:divBdr>
      <w:divsChild>
        <w:div w:id="752624297">
          <w:marLeft w:val="0"/>
          <w:marRight w:val="0"/>
          <w:marTop w:val="0"/>
          <w:marBottom w:val="0"/>
          <w:divBdr>
            <w:top w:val="none" w:sz="0" w:space="0" w:color="auto"/>
            <w:left w:val="none" w:sz="0" w:space="0" w:color="auto"/>
            <w:bottom w:val="none" w:sz="0" w:space="0" w:color="auto"/>
            <w:right w:val="none" w:sz="0" w:space="0" w:color="auto"/>
          </w:divBdr>
        </w:div>
      </w:divsChild>
    </w:div>
    <w:div w:id="1048147599">
      <w:bodyDiv w:val="1"/>
      <w:marLeft w:val="0"/>
      <w:marRight w:val="0"/>
      <w:marTop w:val="0"/>
      <w:marBottom w:val="0"/>
      <w:divBdr>
        <w:top w:val="none" w:sz="0" w:space="0" w:color="auto"/>
        <w:left w:val="none" w:sz="0" w:space="0" w:color="auto"/>
        <w:bottom w:val="none" w:sz="0" w:space="0" w:color="auto"/>
        <w:right w:val="none" w:sz="0" w:space="0" w:color="auto"/>
      </w:divBdr>
      <w:divsChild>
        <w:div w:id="69036771">
          <w:marLeft w:val="1166"/>
          <w:marRight w:val="0"/>
          <w:marTop w:val="0"/>
          <w:marBottom w:val="0"/>
          <w:divBdr>
            <w:top w:val="none" w:sz="0" w:space="0" w:color="auto"/>
            <w:left w:val="none" w:sz="0" w:space="0" w:color="auto"/>
            <w:bottom w:val="none" w:sz="0" w:space="0" w:color="auto"/>
            <w:right w:val="none" w:sz="0" w:space="0" w:color="auto"/>
          </w:divBdr>
        </w:div>
        <w:div w:id="709232589">
          <w:marLeft w:val="1166"/>
          <w:marRight w:val="0"/>
          <w:marTop w:val="0"/>
          <w:marBottom w:val="0"/>
          <w:divBdr>
            <w:top w:val="none" w:sz="0" w:space="0" w:color="auto"/>
            <w:left w:val="none" w:sz="0" w:space="0" w:color="auto"/>
            <w:bottom w:val="none" w:sz="0" w:space="0" w:color="auto"/>
            <w:right w:val="none" w:sz="0" w:space="0" w:color="auto"/>
          </w:divBdr>
        </w:div>
        <w:div w:id="1099790762">
          <w:marLeft w:val="446"/>
          <w:marRight w:val="0"/>
          <w:marTop w:val="0"/>
          <w:marBottom w:val="0"/>
          <w:divBdr>
            <w:top w:val="none" w:sz="0" w:space="0" w:color="auto"/>
            <w:left w:val="none" w:sz="0" w:space="0" w:color="auto"/>
            <w:bottom w:val="none" w:sz="0" w:space="0" w:color="auto"/>
            <w:right w:val="none" w:sz="0" w:space="0" w:color="auto"/>
          </w:divBdr>
        </w:div>
        <w:div w:id="1128279575">
          <w:marLeft w:val="1166"/>
          <w:marRight w:val="0"/>
          <w:marTop w:val="0"/>
          <w:marBottom w:val="0"/>
          <w:divBdr>
            <w:top w:val="none" w:sz="0" w:space="0" w:color="auto"/>
            <w:left w:val="none" w:sz="0" w:space="0" w:color="auto"/>
            <w:bottom w:val="none" w:sz="0" w:space="0" w:color="auto"/>
            <w:right w:val="none" w:sz="0" w:space="0" w:color="auto"/>
          </w:divBdr>
        </w:div>
        <w:div w:id="1192838311">
          <w:marLeft w:val="1166"/>
          <w:marRight w:val="0"/>
          <w:marTop w:val="0"/>
          <w:marBottom w:val="0"/>
          <w:divBdr>
            <w:top w:val="none" w:sz="0" w:space="0" w:color="auto"/>
            <w:left w:val="none" w:sz="0" w:space="0" w:color="auto"/>
            <w:bottom w:val="none" w:sz="0" w:space="0" w:color="auto"/>
            <w:right w:val="none" w:sz="0" w:space="0" w:color="auto"/>
          </w:divBdr>
        </w:div>
        <w:div w:id="1303192405">
          <w:marLeft w:val="1166"/>
          <w:marRight w:val="0"/>
          <w:marTop w:val="0"/>
          <w:marBottom w:val="0"/>
          <w:divBdr>
            <w:top w:val="none" w:sz="0" w:space="0" w:color="auto"/>
            <w:left w:val="none" w:sz="0" w:space="0" w:color="auto"/>
            <w:bottom w:val="none" w:sz="0" w:space="0" w:color="auto"/>
            <w:right w:val="none" w:sz="0" w:space="0" w:color="auto"/>
          </w:divBdr>
        </w:div>
        <w:div w:id="1792940895">
          <w:marLeft w:val="446"/>
          <w:marRight w:val="0"/>
          <w:marTop w:val="0"/>
          <w:marBottom w:val="0"/>
          <w:divBdr>
            <w:top w:val="none" w:sz="0" w:space="0" w:color="auto"/>
            <w:left w:val="none" w:sz="0" w:space="0" w:color="auto"/>
            <w:bottom w:val="none" w:sz="0" w:space="0" w:color="auto"/>
            <w:right w:val="none" w:sz="0" w:space="0" w:color="auto"/>
          </w:divBdr>
        </w:div>
        <w:div w:id="1985045977">
          <w:marLeft w:val="1166"/>
          <w:marRight w:val="0"/>
          <w:marTop w:val="0"/>
          <w:marBottom w:val="0"/>
          <w:divBdr>
            <w:top w:val="none" w:sz="0" w:space="0" w:color="auto"/>
            <w:left w:val="none" w:sz="0" w:space="0" w:color="auto"/>
            <w:bottom w:val="none" w:sz="0" w:space="0" w:color="auto"/>
            <w:right w:val="none" w:sz="0" w:space="0" w:color="auto"/>
          </w:divBdr>
        </w:div>
      </w:divsChild>
    </w:div>
    <w:div w:id="1055549091">
      <w:bodyDiv w:val="1"/>
      <w:marLeft w:val="0"/>
      <w:marRight w:val="0"/>
      <w:marTop w:val="0"/>
      <w:marBottom w:val="0"/>
      <w:divBdr>
        <w:top w:val="none" w:sz="0" w:space="0" w:color="auto"/>
        <w:left w:val="none" w:sz="0" w:space="0" w:color="auto"/>
        <w:bottom w:val="none" w:sz="0" w:space="0" w:color="auto"/>
        <w:right w:val="none" w:sz="0" w:space="0" w:color="auto"/>
      </w:divBdr>
      <w:divsChild>
        <w:div w:id="43454904">
          <w:marLeft w:val="1166"/>
          <w:marRight w:val="0"/>
          <w:marTop w:val="0"/>
          <w:marBottom w:val="0"/>
          <w:divBdr>
            <w:top w:val="none" w:sz="0" w:space="0" w:color="auto"/>
            <w:left w:val="none" w:sz="0" w:space="0" w:color="auto"/>
            <w:bottom w:val="none" w:sz="0" w:space="0" w:color="auto"/>
            <w:right w:val="none" w:sz="0" w:space="0" w:color="auto"/>
          </w:divBdr>
        </w:div>
        <w:div w:id="47841845">
          <w:marLeft w:val="1166"/>
          <w:marRight w:val="0"/>
          <w:marTop w:val="0"/>
          <w:marBottom w:val="0"/>
          <w:divBdr>
            <w:top w:val="none" w:sz="0" w:space="0" w:color="auto"/>
            <w:left w:val="none" w:sz="0" w:space="0" w:color="auto"/>
            <w:bottom w:val="none" w:sz="0" w:space="0" w:color="auto"/>
            <w:right w:val="none" w:sz="0" w:space="0" w:color="auto"/>
          </w:divBdr>
        </w:div>
        <w:div w:id="57289912">
          <w:marLeft w:val="446"/>
          <w:marRight w:val="0"/>
          <w:marTop w:val="0"/>
          <w:marBottom w:val="0"/>
          <w:divBdr>
            <w:top w:val="none" w:sz="0" w:space="0" w:color="auto"/>
            <w:left w:val="none" w:sz="0" w:space="0" w:color="auto"/>
            <w:bottom w:val="none" w:sz="0" w:space="0" w:color="auto"/>
            <w:right w:val="none" w:sz="0" w:space="0" w:color="auto"/>
          </w:divBdr>
        </w:div>
        <w:div w:id="296878127">
          <w:marLeft w:val="1166"/>
          <w:marRight w:val="0"/>
          <w:marTop w:val="0"/>
          <w:marBottom w:val="0"/>
          <w:divBdr>
            <w:top w:val="none" w:sz="0" w:space="0" w:color="auto"/>
            <w:left w:val="none" w:sz="0" w:space="0" w:color="auto"/>
            <w:bottom w:val="none" w:sz="0" w:space="0" w:color="auto"/>
            <w:right w:val="none" w:sz="0" w:space="0" w:color="auto"/>
          </w:divBdr>
        </w:div>
        <w:div w:id="738164308">
          <w:marLeft w:val="1166"/>
          <w:marRight w:val="0"/>
          <w:marTop w:val="0"/>
          <w:marBottom w:val="0"/>
          <w:divBdr>
            <w:top w:val="none" w:sz="0" w:space="0" w:color="auto"/>
            <w:left w:val="none" w:sz="0" w:space="0" w:color="auto"/>
            <w:bottom w:val="none" w:sz="0" w:space="0" w:color="auto"/>
            <w:right w:val="none" w:sz="0" w:space="0" w:color="auto"/>
          </w:divBdr>
        </w:div>
        <w:div w:id="775828229">
          <w:marLeft w:val="446"/>
          <w:marRight w:val="0"/>
          <w:marTop w:val="0"/>
          <w:marBottom w:val="0"/>
          <w:divBdr>
            <w:top w:val="none" w:sz="0" w:space="0" w:color="auto"/>
            <w:left w:val="none" w:sz="0" w:space="0" w:color="auto"/>
            <w:bottom w:val="none" w:sz="0" w:space="0" w:color="auto"/>
            <w:right w:val="none" w:sz="0" w:space="0" w:color="auto"/>
          </w:divBdr>
        </w:div>
        <w:div w:id="1160804174">
          <w:marLeft w:val="1166"/>
          <w:marRight w:val="0"/>
          <w:marTop w:val="0"/>
          <w:marBottom w:val="0"/>
          <w:divBdr>
            <w:top w:val="none" w:sz="0" w:space="0" w:color="auto"/>
            <w:left w:val="none" w:sz="0" w:space="0" w:color="auto"/>
            <w:bottom w:val="none" w:sz="0" w:space="0" w:color="auto"/>
            <w:right w:val="none" w:sz="0" w:space="0" w:color="auto"/>
          </w:divBdr>
        </w:div>
        <w:div w:id="1235049230">
          <w:marLeft w:val="1166"/>
          <w:marRight w:val="0"/>
          <w:marTop w:val="0"/>
          <w:marBottom w:val="0"/>
          <w:divBdr>
            <w:top w:val="none" w:sz="0" w:space="0" w:color="auto"/>
            <w:left w:val="none" w:sz="0" w:space="0" w:color="auto"/>
            <w:bottom w:val="none" w:sz="0" w:space="0" w:color="auto"/>
            <w:right w:val="none" w:sz="0" w:space="0" w:color="auto"/>
          </w:divBdr>
        </w:div>
        <w:div w:id="1524592147">
          <w:marLeft w:val="1166"/>
          <w:marRight w:val="0"/>
          <w:marTop w:val="0"/>
          <w:marBottom w:val="0"/>
          <w:divBdr>
            <w:top w:val="none" w:sz="0" w:space="0" w:color="auto"/>
            <w:left w:val="none" w:sz="0" w:space="0" w:color="auto"/>
            <w:bottom w:val="none" w:sz="0" w:space="0" w:color="auto"/>
            <w:right w:val="none" w:sz="0" w:space="0" w:color="auto"/>
          </w:divBdr>
        </w:div>
        <w:div w:id="1846629555">
          <w:marLeft w:val="1166"/>
          <w:marRight w:val="0"/>
          <w:marTop w:val="0"/>
          <w:marBottom w:val="0"/>
          <w:divBdr>
            <w:top w:val="none" w:sz="0" w:space="0" w:color="auto"/>
            <w:left w:val="none" w:sz="0" w:space="0" w:color="auto"/>
            <w:bottom w:val="none" w:sz="0" w:space="0" w:color="auto"/>
            <w:right w:val="none" w:sz="0" w:space="0" w:color="auto"/>
          </w:divBdr>
        </w:div>
      </w:divsChild>
    </w:div>
    <w:div w:id="1064717024">
      <w:bodyDiv w:val="1"/>
      <w:marLeft w:val="0"/>
      <w:marRight w:val="0"/>
      <w:marTop w:val="0"/>
      <w:marBottom w:val="0"/>
      <w:divBdr>
        <w:top w:val="none" w:sz="0" w:space="0" w:color="auto"/>
        <w:left w:val="none" w:sz="0" w:space="0" w:color="auto"/>
        <w:bottom w:val="none" w:sz="0" w:space="0" w:color="auto"/>
        <w:right w:val="none" w:sz="0" w:space="0" w:color="auto"/>
      </w:divBdr>
    </w:div>
    <w:div w:id="1099447117">
      <w:bodyDiv w:val="1"/>
      <w:marLeft w:val="0"/>
      <w:marRight w:val="0"/>
      <w:marTop w:val="0"/>
      <w:marBottom w:val="0"/>
      <w:divBdr>
        <w:top w:val="none" w:sz="0" w:space="0" w:color="auto"/>
        <w:left w:val="none" w:sz="0" w:space="0" w:color="auto"/>
        <w:bottom w:val="none" w:sz="0" w:space="0" w:color="auto"/>
        <w:right w:val="none" w:sz="0" w:space="0" w:color="auto"/>
      </w:divBdr>
      <w:divsChild>
        <w:div w:id="14622537">
          <w:marLeft w:val="0"/>
          <w:marRight w:val="0"/>
          <w:marTop w:val="0"/>
          <w:marBottom w:val="0"/>
          <w:divBdr>
            <w:top w:val="none" w:sz="0" w:space="0" w:color="auto"/>
            <w:left w:val="none" w:sz="0" w:space="0" w:color="auto"/>
            <w:bottom w:val="none" w:sz="0" w:space="0" w:color="auto"/>
            <w:right w:val="none" w:sz="0" w:space="0" w:color="auto"/>
          </w:divBdr>
        </w:div>
        <w:div w:id="182675918">
          <w:marLeft w:val="0"/>
          <w:marRight w:val="0"/>
          <w:marTop w:val="0"/>
          <w:marBottom w:val="0"/>
          <w:divBdr>
            <w:top w:val="none" w:sz="0" w:space="0" w:color="auto"/>
            <w:left w:val="none" w:sz="0" w:space="0" w:color="auto"/>
            <w:bottom w:val="none" w:sz="0" w:space="0" w:color="auto"/>
            <w:right w:val="none" w:sz="0" w:space="0" w:color="auto"/>
          </w:divBdr>
        </w:div>
        <w:div w:id="250820631">
          <w:marLeft w:val="0"/>
          <w:marRight w:val="0"/>
          <w:marTop w:val="0"/>
          <w:marBottom w:val="0"/>
          <w:divBdr>
            <w:top w:val="none" w:sz="0" w:space="0" w:color="auto"/>
            <w:left w:val="none" w:sz="0" w:space="0" w:color="auto"/>
            <w:bottom w:val="none" w:sz="0" w:space="0" w:color="auto"/>
            <w:right w:val="none" w:sz="0" w:space="0" w:color="auto"/>
          </w:divBdr>
        </w:div>
        <w:div w:id="364136956">
          <w:marLeft w:val="0"/>
          <w:marRight w:val="0"/>
          <w:marTop w:val="0"/>
          <w:marBottom w:val="0"/>
          <w:divBdr>
            <w:top w:val="none" w:sz="0" w:space="0" w:color="auto"/>
            <w:left w:val="none" w:sz="0" w:space="0" w:color="auto"/>
            <w:bottom w:val="none" w:sz="0" w:space="0" w:color="auto"/>
            <w:right w:val="none" w:sz="0" w:space="0" w:color="auto"/>
          </w:divBdr>
        </w:div>
        <w:div w:id="375199251">
          <w:marLeft w:val="0"/>
          <w:marRight w:val="0"/>
          <w:marTop w:val="0"/>
          <w:marBottom w:val="0"/>
          <w:divBdr>
            <w:top w:val="none" w:sz="0" w:space="0" w:color="auto"/>
            <w:left w:val="none" w:sz="0" w:space="0" w:color="auto"/>
            <w:bottom w:val="none" w:sz="0" w:space="0" w:color="auto"/>
            <w:right w:val="none" w:sz="0" w:space="0" w:color="auto"/>
          </w:divBdr>
        </w:div>
        <w:div w:id="391538100">
          <w:marLeft w:val="0"/>
          <w:marRight w:val="0"/>
          <w:marTop w:val="0"/>
          <w:marBottom w:val="0"/>
          <w:divBdr>
            <w:top w:val="none" w:sz="0" w:space="0" w:color="auto"/>
            <w:left w:val="none" w:sz="0" w:space="0" w:color="auto"/>
            <w:bottom w:val="none" w:sz="0" w:space="0" w:color="auto"/>
            <w:right w:val="none" w:sz="0" w:space="0" w:color="auto"/>
          </w:divBdr>
        </w:div>
        <w:div w:id="450828732">
          <w:marLeft w:val="0"/>
          <w:marRight w:val="0"/>
          <w:marTop w:val="0"/>
          <w:marBottom w:val="0"/>
          <w:divBdr>
            <w:top w:val="none" w:sz="0" w:space="0" w:color="auto"/>
            <w:left w:val="none" w:sz="0" w:space="0" w:color="auto"/>
            <w:bottom w:val="none" w:sz="0" w:space="0" w:color="auto"/>
            <w:right w:val="none" w:sz="0" w:space="0" w:color="auto"/>
          </w:divBdr>
        </w:div>
        <w:div w:id="512885585">
          <w:marLeft w:val="0"/>
          <w:marRight w:val="0"/>
          <w:marTop w:val="0"/>
          <w:marBottom w:val="0"/>
          <w:divBdr>
            <w:top w:val="none" w:sz="0" w:space="0" w:color="auto"/>
            <w:left w:val="none" w:sz="0" w:space="0" w:color="auto"/>
            <w:bottom w:val="none" w:sz="0" w:space="0" w:color="auto"/>
            <w:right w:val="none" w:sz="0" w:space="0" w:color="auto"/>
          </w:divBdr>
        </w:div>
        <w:div w:id="643313759">
          <w:marLeft w:val="0"/>
          <w:marRight w:val="0"/>
          <w:marTop w:val="0"/>
          <w:marBottom w:val="0"/>
          <w:divBdr>
            <w:top w:val="none" w:sz="0" w:space="0" w:color="auto"/>
            <w:left w:val="none" w:sz="0" w:space="0" w:color="auto"/>
            <w:bottom w:val="none" w:sz="0" w:space="0" w:color="auto"/>
            <w:right w:val="none" w:sz="0" w:space="0" w:color="auto"/>
          </w:divBdr>
        </w:div>
        <w:div w:id="818499777">
          <w:marLeft w:val="0"/>
          <w:marRight w:val="0"/>
          <w:marTop w:val="0"/>
          <w:marBottom w:val="0"/>
          <w:divBdr>
            <w:top w:val="none" w:sz="0" w:space="0" w:color="auto"/>
            <w:left w:val="none" w:sz="0" w:space="0" w:color="auto"/>
            <w:bottom w:val="none" w:sz="0" w:space="0" w:color="auto"/>
            <w:right w:val="none" w:sz="0" w:space="0" w:color="auto"/>
          </w:divBdr>
        </w:div>
        <w:div w:id="952980097">
          <w:marLeft w:val="0"/>
          <w:marRight w:val="0"/>
          <w:marTop w:val="0"/>
          <w:marBottom w:val="0"/>
          <w:divBdr>
            <w:top w:val="none" w:sz="0" w:space="0" w:color="auto"/>
            <w:left w:val="none" w:sz="0" w:space="0" w:color="auto"/>
            <w:bottom w:val="none" w:sz="0" w:space="0" w:color="auto"/>
            <w:right w:val="none" w:sz="0" w:space="0" w:color="auto"/>
          </w:divBdr>
        </w:div>
        <w:div w:id="989987128">
          <w:marLeft w:val="0"/>
          <w:marRight w:val="0"/>
          <w:marTop w:val="0"/>
          <w:marBottom w:val="0"/>
          <w:divBdr>
            <w:top w:val="none" w:sz="0" w:space="0" w:color="auto"/>
            <w:left w:val="none" w:sz="0" w:space="0" w:color="auto"/>
            <w:bottom w:val="none" w:sz="0" w:space="0" w:color="auto"/>
            <w:right w:val="none" w:sz="0" w:space="0" w:color="auto"/>
          </w:divBdr>
        </w:div>
        <w:div w:id="1035471099">
          <w:marLeft w:val="0"/>
          <w:marRight w:val="0"/>
          <w:marTop w:val="0"/>
          <w:marBottom w:val="0"/>
          <w:divBdr>
            <w:top w:val="none" w:sz="0" w:space="0" w:color="auto"/>
            <w:left w:val="none" w:sz="0" w:space="0" w:color="auto"/>
            <w:bottom w:val="none" w:sz="0" w:space="0" w:color="auto"/>
            <w:right w:val="none" w:sz="0" w:space="0" w:color="auto"/>
          </w:divBdr>
        </w:div>
        <w:div w:id="1112701992">
          <w:marLeft w:val="0"/>
          <w:marRight w:val="0"/>
          <w:marTop w:val="0"/>
          <w:marBottom w:val="0"/>
          <w:divBdr>
            <w:top w:val="none" w:sz="0" w:space="0" w:color="auto"/>
            <w:left w:val="none" w:sz="0" w:space="0" w:color="auto"/>
            <w:bottom w:val="none" w:sz="0" w:space="0" w:color="auto"/>
            <w:right w:val="none" w:sz="0" w:space="0" w:color="auto"/>
          </w:divBdr>
        </w:div>
        <w:div w:id="1152215349">
          <w:marLeft w:val="0"/>
          <w:marRight w:val="0"/>
          <w:marTop w:val="0"/>
          <w:marBottom w:val="0"/>
          <w:divBdr>
            <w:top w:val="none" w:sz="0" w:space="0" w:color="auto"/>
            <w:left w:val="none" w:sz="0" w:space="0" w:color="auto"/>
            <w:bottom w:val="none" w:sz="0" w:space="0" w:color="auto"/>
            <w:right w:val="none" w:sz="0" w:space="0" w:color="auto"/>
          </w:divBdr>
        </w:div>
        <w:div w:id="1155802627">
          <w:marLeft w:val="0"/>
          <w:marRight w:val="0"/>
          <w:marTop w:val="0"/>
          <w:marBottom w:val="0"/>
          <w:divBdr>
            <w:top w:val="none" w:sz="0" w:space="0" w:color="auto"/>
            <w:left w:val="none" w:sz="0" w:space="0" w:color="auto"/>
            <w:bottom w:val="none" w:sz="0" w:space="0" w:color="auto"/>
            <w:right w:val="none" w:sz="0" w:space="0" w:color="auto"/>
          </w:divBdr>
        </w:div>
        <w:div w:id="1191065162">
          <w:marLeft w:val="0"/>
          <w:marRight w:val="0"/>
          <w:marTop w:val="0"/>
          <w:marBottom w:val="0"/>
          <w:divBdr>
            <w:top w:val="none" w:sz="0" w:space="0" w:color="auto"/>
            <w:left w:val="none" w:sz="0" w:space="0" w:color="auto"/>
            <w:bottom w:val="none" w:sz="0" w:space="0" w:color="auto"/>
            <w:right w:val="none" w:sz="0" w:space="0" w:color="auto"/>
          </w:divBdr>
        </w:div>
        <w:div w:id="1234008977">
          <w:marLeft w:val="0"/>
          <w:marRight w:val="0"/>
          <w:marTop w:val="0"/>
          <w:marBottom w:val="0"/>
          <w:divBdr>
            <w:top w:val="none" w:sz="0" w:space="0" w:color="auto"/>
            <w:left w:val="none" w:sz="0" w:space="0" w:color="auto"/>
            <w:bottom w:val="none" w:sz="0" w:space="0" w:color="auto"/>
            <w:right w:val="none" w:sz="0" w:space="0" w:color="auto"/>
          </w:divBdr>
        </w:div>
        <w:div w:id="1242763617">
          <w:marLeft w:val="0"/>
          <w:marRight w:val="0"/>
          <w:marTop w:val="0"/>
          <w:marBottom w:val="0"/>
          <w:divBdr>
            <w:top w:val="none" w:sz="0" w:space="0" w:color="auto"/>
            <w:left w:val="none" w:sz="0" w:space="0" w:color="auto"/>
            <w:bottom w:val="none" w:sz="0" w:space="0" w:color="auto"/>
            <w:right w:val="none" w:sz="0" w:space="0" w:color="auto"/>
          </w:divBdr>
        </w:div>
        <w:div w:id="1281961929">
          <w:marLeft w:val="0"/>
          <w:marRight w:val="0"/>
          <w:marTop w:val="0"/>
          <w:marBottom w:val="0"/>
          <w:divBdr>
            <w:top w:val="none" w:sz="0" w:space="0" w:color="auto"/>
            <w:left w:val="none" w:sz="0" w:space="0" w:color="auto"/>
            <w:bottom w:val="none" w:sz="0" w:space="0" w:color="auto"/>
            <w:right w:val="none" w:sz="0" w:space="0" w:color="auto"/>
          </w:divBdr>
        </w:div>
        <w:div w:id="1299796460">
          <w:marLeft w:val="0"/>
          <w:marRight w:val="0"/>
          <w:marTop w:val="0"/>
          <w:marBottom w:val="0"/>
          <w:divBdr>
            <w:top w:val="none" w:sz="0" w:space="0" w:color="auto"/>
            <w:left w:val="none" w:sz="0" w:space="0" w:color="auto"/>
            <w:bottom w:val="none" w:sz="0" w:space="0" w:color="auto"/>
            <w:right w:val="none" w:sz="0" w:space="0" w:color="auto"/>
          </w:divBdr>
        </w:div>
        <w:div w:id="1307396265">
          <w:marLeft w:val="0"/>
          <w:marRight w:val="0"/>
          <w:marTop w:val="0"/>
          <w:marBottom w:val="0"/>
          <w:divBdr>
            <w:top w:val="none" w:sz="0" w:space="0" w:color="auto"/>
            <w:left w:val="none" w:sz="0" w:space="0" w:color="auto"/>
            <w:bottom w:val="none" w:sz="0" w:space="0" w:color="auto"/>
            <w:right w:val="none" w:sz="0" w:space="0" w:color="auto"/>
          </w:divBdr>
        </w:div>
        <w:div w:id="1371032663">
          <w:marLeft w:val="0"/>
          <w:marRight w:val="0"/>
          <w:marTop w:val="0"/>
          <w:marBottom w:val="0"/>
          <w:divBdr>
            <w:top w:val="none" w:sz="0" w:space="0" w:color="auto"/>
            <w:left w:val="none" w:sz="0" w:space="0" w:color="auto"/>
            <w:bottom w:val="none" w:sz="0" w:space="0" w:color="auto"/>
            <w:right w:val="none" w:sz="0" w:space="0" w:color="auto"/>
          </w:divBdr>
        </w:div>
        <w:div w:id="1417825213">
          <w:marLeft w:val="0"/>
          <w:marRight w:val="0"/>
          <w:marTop w:val="0"/>
          <w:marBottom w:val="0"/>
          <w:divBdr>
            <w:top w:val="none" w:sz="0" w:space="0" w:color="auto"/>
            <w:left w:val="none" w:sz="0" w:space="0" w:color="auto"/>
            <w:bottom w:val="none" w:sz="0" w:space="0" w:color="auto"/>
            <w:right w:val="none" w:sz="0" w:space="0" w:color="auto"/>
          </w:divBdr>
        </w:div>
        <w:div w:id="1453477511">
          <w:marLeft w:val="0"/>
          <w:marRight w:val="0"/>
          <w:marTop w:val="0"/>
          <w:marBottom w:val="0"/>
          <w:divBdr>
            <w:top w:val="none" w:sz="0" w:space="0" w:color="auto"/>
            <w:left w:val="none" w:sz="0" w:space="0" w:color="auto"/>
            <w:bottom w:val="none" w:sz="0" w:space="0" w:color="auto"/>
            <w:right w:val="none" w:sz="0" w:space="0" w:color="auto"/>
          </w:divBdr>
        </w:div>
        <w:div w:id="1578977219">
          <w:marLeft w:val="0"/>
          <w:marRight w:val="0"/>
          <w:marTop w:val="0"/>
          <w:marBottom w:val="0"/>
          <w:divBdr>
            <w:top w:val="none" w:sz="0" w:space="0" w:color="auto"/>
            <w:left w:val="none" w:sz="0" w:space="0" w:color="auto"/>
            <w:bottom w:val="none" w:sz="0" w:space="0" w:color="auto"/>
            <w:right w:val="none" w:sz="0" w:space="0" w:color="auto"/>
          </w:divBdr>
        </w:div>
        <w:div w:id="1607467020">
          <w:marLeft w:val="0"/>
          <w:marRight w:val="0"/>
          <w:marTop w:val="0"/>
          <w:marBottom w:val="0"/>
          <w:divBdr>
            <w:top w:val="none" w:sz="0" w:space="0" w:color="auto"/>
            <w:left w:val="none" w:sz="0" w:space="0" w:color="auto"/>
            <w:bottom w:val="none" w:sz="0" w:space="0" w:color="auto"/>
            <w:right w:val="none" w:sz="0" w:space="0" w:color="auto"/>
          </w:divBdr>
        </w:div>
        <w:div w:id="1618562630">
          <w:marLeft w:val="0"/>
          <w:marRight w:val="0"/>
          <w:marTop w:val="0"/>
          <w:marBottom w:val="0"/>
          <w:divBdr>
            <w:top w:val="none" w:sz="0" w:space="0" w:color="auto"/>
            <w:left w:val="none" w:sz="0" w:space="0" w:color="auto"/>
            <w:bottom w:val="none" w:sz="0" w:space="0" w:color="auto"/>
            <w:right w:val="none" w:sz="0" w:space="0" w:color="auto"/>
          </w:divBdr>
        </w:div>
        <w:div w:id="1790971321">
          <w:marLeft w:val="0"/>
          <w:marRight w:val="0"/>
          <w:marTop w:val="0"/>
          <w:marBottom w:val="0"/>
          <w:divBdr>
            <w:top w:val="none" w:sz="0" w:space="0" w:color="auto"/>
            <w:left w:val="none" w:sz="0" w:space="0" w:color="auto"/>
            <w:bottom w:val="none" w:sz="0" w:space="0" w:color="auto"/>
            <w:right w:val="none" w:sz="0" w:space="0" w:color="auto"/>
          </w:divBdr>
        </w:div>
        <w:div w:id="1899124184">
          <w:marLeft w:val="0"/>
          <w:marRight w:val="0"/>
          <w:marTop w:val="0"/>
          <w:marBottom w:val="0"/>
          <w:divBdr>
            <w:top w:val="none" w:sz="0" w:space="0" w:color="auto"/>
            <w:left w:val="none" w:sz="0" w:space="0" w:color="auto"/>
            <w:bottom w:val="none" w:sz="0" w:space="0" w:color="auto"/>
            <w:right w:val="none" w:sz="0" w:space="0" w:color="auto"/>
          </w:divBdr>
        </w:div>
        <w:div w:id="1980647581">
          <w:marLeft w:val="0"/>
          <w:marRight w:val="0"/>
          <w:marTop w:val="0"/>
          <w:marBottom w:val="0"/>
          <w:divBdr>
            <w:top w:val="none" w:sz="0" w:space="0" w:color="auto"/>
            <w:left w:val="none" w:sz="0" w:space="0" w:color="auto"/>
            <w:bottom w:val="none" w:sz="0" w:space="0" w:color="auto"/>
            <w:right w:val="none" w:sz="0" w:space="0" w:color="auto"/>
          </w:divBdr>
        </w:div>
        <w:div w:id="2030253846">
          <w:marLeft w:val="0"/>
          <w:marRight w:val="0"/>
          <w:marTop w:val="0"/>
          <w:marBottom w:val="0"/>
          <w:divBdr>
            <w:top w:val="none" w:sz="0" w:space="0" w:color="auto"/>
            <w:left w:val="none" w:sz="0" w:space="0" w:color="auto"/>
            <w:bottom w:val="none" w:sz="0" w:space="0" w:color="auto"/>
            <w:right w:val="none" w:sz="0" w:space="0" w:color="auto"/>
          </w:divBdr>
        </w:div>
      </w:divsChild>
    </w:div>
    <w:div w:id="1124419872">
      <w:bodyDiv w:val="1"/>
      <w:marLeft w:val="0"/>
      <w:marRight w:val="0"/>
      <w:marTop w:val="0"/>
      <w:marBottom w:val="0"/>
      <w:divBdr>
        <w:top w:val="none" w:sz="0" w:space="0" w:color="auto"/>
        <w:left w:val="none" w:sz="0" w:space="0" w:color="auto"/>
        <w:bottom w:val="none" w:sz="0" w:space="0" w:color="auto"/>
        <w:right w:val="none" w:sz="0" w:space="0" w:color="auto"/>
      </w:divBdr>
    </w:div>
    <w:div w:id="1128164349">
      <w:bodyDiv w:val="1"/>
      <w:marLeft w:val="0"/>
      <w:marRight w:val="0"/>
      <w:marTop w:val="0"/>
      <w:marBottom w:val="0"/>
      <w:divBdr>
        <w:top w:val="none" w:sz="0" w:space="0" w:color="auto"/>
        <w:left w:val="none" w:sz="0" w:space="0" w:color="auto"/>
        <w:bottom w:val="none" w:sz="0" w:space="0" w:color="auto"/>
        <w:right w:val="none" w:sz="0" w:space="0" w:color="auto"/>
      </w:divBdr>
    </w:div>
    <w:div w:id="1135222332">
      <w:bodyDiv w:val="1"/>
      <w:marLeft w:val="0"/>
      <w:marRight w:val="0"/>
      <w:marTop w:val="0"/>
      <w:marBottom w:val="0"/>
      <w:divBdr>
        <w:top w:val="none" w:sz="0" w:space="0" w:color="auto"/>
        <w:left w:val="none" w:sz="0" w:space="0" w:color="auto"/>
        <w:bottom w:val="none" w:sz="0" w:space="0" w:color="auto"/>
        <w:right w:val="none" w:sz="0" w:space="0" w:color="auto"/>
      </w:divBdr>
    </w:div>
    <w:div w:id="1143158685">
      <w:bodyDiv w:val="1"/>
      <w:marLeft w:val="0"/>
      <w:marRight w:val="0"/>
      <w:marTop w:val="0"/>
      <w:marBottom w:val="0"/>
      <w:divBdr>
        <w:top w:val="none" w:sz="0" w:space="0" w:color="auto"/>
        <w:left w:val="none" w:sz="0" w:space="0" w:color="auto"/>
        <w:bottom w:val="none" w:sz="0" w:space="0" w:color="auto"/>
        <w:right w:val="none" w:sz="0" w:space="0" w:color="auto"/>
      </w:divBdr>
      <w:divsChild>
        <w:div w:id="928587096">
          <w:marLeft w:val="274"/>
          <w:marRight w:val="0"/>
          <w:marTop w:val="0"/>
          <w:marBottom w:val="0"/>
          <w:divBdr>
            <w:top w:val="none" w:sz="0" w:space="0" w:color="auto"/>
            <w:left w:val="none" w:sz="0" w:space="0" w:color="auto"/>
            <w:bottom w:val="none" w:sz="0" w:space="0" w:color="auto"/>
            <w:right w:val="none" w:sz="0" w:space="0" w:color="auto"/>
          </w:divBdr>
        </w:div>
        <w:div w:id="1267081400">
          <w:marLeft w:val="274"/>
          <w:marRight w:val="0"/>
          <w:marTop w:val="0"/>
          <w:marBottom w:val="0"/>
          <w:divBdr>
            <w:top w:val="none" w:sz="0" w:space="0" w:color="auto"/>
            <w:left w:val="none" w:sz="0" w:space="0" w:color="auto"/>
            <w:bottom w:val="none" w:sz="0" w:space="0" w:color="auto"/>
            <w:right w:val="none" w:sz="0" w:space="0" w:color="auto"/>
          </w:divBdr>
        </w:div>
        <w:div w:id="1611400031">
          <w:marLeft w:val="274"/>
          <w:marRight w:val="0"/>
          <w:marTop w:val="0"/>
          <w:marBottom w:val="0"/>
          <w:divBdr>
            <w:top w:val="none" w:sz="0" w:space="0" w:color="auto"/>
            <w:left w:val="none" w:sz="0" w:space="0" w:color="auto"/>
            <w:bottom w:val="none" w:sz="0" w:space="0" w:color="auto"/>
            <w:right w:val="none" w:sz="0" w:space="0" w:color="auto"/>
          </w:divBdr>
        </w:div>
        <w:div w:id="1702977622">
          <w:marLeft w:val="274"/>
          <w:marRight w:val="0"/>
          <w:marTop w:val="0"/>
          <w:marBottom w:val="0"/>
          <w:divBdr>
            <w:top w:val="none" w:sz="0" w:space="0" w:color="auto"/>
            <w:left w:val="none" w:sz="0" w:space="0" w:color="auto"/>
            <w:bottom w:val="none" w:sz="0" w:space="0" w:color="auto"/>
            <w:right w:val="none" w:sz="0" w:space="0" w:color="auto"/>
          </w:divBdr>
        </w:div>
        <w:div w:id="2049989947">
          <w:marLeft w:val="274"/>
          <w:marRight w:val="0"/>
          <w:marTop w:val="0"/>
          <w:marBottom w:val="0"/>
          <w:divBdr>
            <w:top w:val="none" w:sz="0" w:space="0" w:color="auto"/>
            <w:left w:val="none" w:sz="0" w:space="0" w:color="auto"/>
            <w:bottom w:val="none" w:sz="0" w:space="0" w:color="auto"/>
            <w:right w:val="none" w:sz="0" w:space="0" w:color="auto"/>
          </w:divBdr>
        </w:div>
      </w:divsChild>
    </w:div>
    <w:div w:id="1158032365">
      <w:bodyDiv w:val="1"/>
      <w:marLeft w:val="0"/>
      <w:marRight w:val="0"/>
      <w:marTop w:val="0"/>
      <w:marBottom w:val="0"/>
      <w:divBdr>
        <w:top w:val="none" w:sz="0" w:space="0" w:color="auto"/>
        <w:left w:val="none" w:sz="0" w:space="0" w:color="auto"/>
        <w:bottom w:val="none" w:sz="0" w:space="0" w:color="auto"/>
        <w:right w:val="none" w:sz="0" w:space="0" w:color="auto"/>
      </w:divBdr>
    </w:div>
    <w:div w:id="1193149163">
      <w:bodyDiv w:val="1"/>
      <w:marLeft w:val="0"/>
      <w:marRight w:val="0"/>
      <w:marTop w:val="0"/>
      <w:marBottom w:val="0"/>
      <w:divBdr>
        <w:top w:val="none" w:sz="0" w:space="0" w:color="auto"/>
        <w:left w:val="none" w:sz="0" w:space="0" w:color="auto"/>
        <w:bottom w:val="none" w:sz="0" w:space="0" w:color="auto"/>
        <w:right w:val="none" w:sz="0" w:space="0" w:color="auto"/>
      </w:divBdr>
    </w:div>
    <w:div w:id="1204634409">
      <w:bodyDiv w:val="1"/>
      <w:marLeft w:val="0"/>
      <w:marRight w:val="0"/>
      <w:marTop w:val="0"/>
      <w:marBottom w:val="0"/>
      <w:divBdr>
        <w:top w:val="none" w:sz="0" w:space="0" w:color="auto"/>
        <w:left w:val="none" w:sz="0" w:space="0" w:color="auto"/>
        <w:bottom w:val="none" w:sz="0" w:space="0" w:color="auto"/>
        <w:right w:val="none" w:sz="0" w:space="0" w:color="auto"/>
      </w:divBdr>
    </w:div>
    <w:div w:id="1211458284">
      <w:bodyDiv w:val="1"/>
      <w:marLeft w:val="0"/>
      <w:marRight w:val="0"/>
      <w:marTop w:val="0"/>
      <w:marBottom w:val="0"/>
      <w:divBdr>
        <w:top w:val="none" w:sz="0" w:space="0" w:color="auto"/>
        <w:left w:val="none" w:sz="0" w:space="0" w:color="auto"/>
        <w:bottom w:val="none" w:sz="0" w:space="0" w:color="auto"/>
        <w:right w:val="none" w:sz="0" w:space="0" w:color="auto"/>
      </w:divBdr>
      <w:divsChild>
        <w:div w:id="37779592">
          <w:marLeft w:val="0"/>
          <w:marRight w:val="0"/>
          <w:marTop w:val="0"/>
          <w:marBottom w:val="0"/>
          <w:divBdr>
            <w:top w:val="none" w:sz="0" w:space="0" w:color="auto"/>
            <w:left w:val="none" w:sz="0" w:space="0" w:color="auto"/>
            <w:bottom w:val="none" w:sz="0" w:space="0" w:color="auto"/>
            <w:right w:val="none" w:sz="0" w:space="0" w:color="auto"/>
          </w:divBdr>
        </w:div>
        <w:div w:id="157311297">
          <w:marLeft w:val="0"/>
          <w:marRight w:val="0"/>
          <w:marTop w:val="0"/>
          <w:marBottom w:val="0"/>
          <w:divBdr>
            <w:top w:val="none" w:sz="0" w:space="0" w:color="auto"/>
            <w:left w:val="none" w:sz="0" w:space="0" w:color="auto"/>
            <w:bottom w:val="none" w:sz="0" w:space="0" w:color="auto"/>
            <w:right w:val="none" w:sz="0" w:space="0" w:color="auto"/>
          </w:divBdr>
        </w:div>
        <w:div w:id="302349192">
          <w:marLeft w:val="0"/>
          <w:marRight w:val="0"/>
          <w:marTop w:val="0"/>
          <w:marBottom w:val="0"/>
          <w:divBdr>
            <w:top w:val="none" w:sz="0" w:space="0" w:color="auto"/>
            <w:left w:val="none" w:sz="0" w:space="0" w:color="auto"/>
            <w:bottom w:val="none" w:sz="0" w:space="0" w:color="auto"/>
            <w:right w:val="none" w:sz="0" w:space="0" w:color="auto"/>
          </w:divBdr>
        </w:div>
        <w:div w:id="326400999">
          <w:marLeft w:val="0"/>
          <w:marRight w:val="0"/>
          <w:marTop w:val="0"/>
          <w:marBottom w:val="0"/>
          <w:divBdr>
            <w:top w:val="none" w:sz="0" w:space="0" w:color="auto"/>
            <w:left w:val="none" w:sz="0" w:space="0" w:color="auto"/>
            <w:bottom w:val="none" w:sz="0" w:space="0" w:color="auto"/>
            <w:right w:val="none" w:sz="0" w:space="0" w:color="auto"/>
          </w:divBdr>
        </w:div>
        <w:div w:id="377440678">
          <w:marLeft w:val="0"/>
          <w:marRight w:val="0"/>
          <w:marTop w:val="0"/>
          <w:marBottom w:val="0"/>
          <w:divBdr>
            <w:top w:val="none" w:sz="0" w:space="0" w:color="auto"/>
            <w:left w:val="none" w:sz="0" w:space="0" w:color="auto"/>
            <w:bottom w:val="none" w:sz="0" w:space="0" w:color="auto"/>
            <w:right w:val="none" w:sz="0" w:space="0" w:color="auto"/>
          </w:divBdr>
        </w:div>
        <w:div w:id="410657878">
          <w:marLeft w:val="0"/>
          <w:marRight w:val="0"/>
          <w:marTop w:val="0"/>
          <w:marBottom w:val="0"/>
          <w:divBdr>
            <w:top w:val="none" w:sz="0" w:space="0" w:color="auto"/>
            <w:left w:val="none" w:sz="0" w:space="0" w:color="auto"/>
            <w:bottom w:val="none" w:sz="0" w:space="0" w:color="auto"/>
            <w:right w:val="none" w:sz="0" w:space="0" w:color="auto"/>
          </w:divBdr>
        </w:div>
        <w:div w:id="486168220">
          <w:marLeft w:val="0"/>
          <w:marRight w:val="0"/>
          <w:marTop w:val="0"/>
          <w:marBottom w:val="0"/>
          <w:divBdr>
            <w:top w:val="none" w:sz="0" w:space="0" w:color="auto"/>
            <w:left w:val="none" w:sz="0" w:space="0" w:color="auto"/>
            <w:bottom w:val="none" w:sz="0" w:space="0" w:color="auto"/>
            <w:right w:val="none" w:sz="0" w:space="0" w:color="auto"/>
          </w:divBdr>
        </w:div>
        <w:div w:id="496192665">
          <w:marLeft w:val="0"/>
          <w:marRight w:val="0"/>
          <w:marTop w:val="0"/>
          <w:marBottom w:val="0"/>
          <w:divBdr>
            <w:top w:val="none" w:sz="0" w:space="0" w:color="auto"/>
            <w:left w:val="none" w:sz="0" w:space="0" w:color="auto"/>
            <w:bottom w:val="none" w:sz="0" w:space="0" w:color="auto"/>
            <w:right w:val="none" w:sz="0" w:space="0" w:color="auto"/>
          </w:divBdr>
        </w:div>
        <w:div w:id="511141968">
          <w:marLeft w:val="0"/>
          <w:marRight w:val="0"/>
          <w:marTop w:val="0"/>
          <w:marBottom w:val="0"/>
          <w:divBdr>
            <w:top w:val="none" w:sz="0" w:space="0" w:color="auto"/>
            <w:left w:val="none" w:sz="0" w:space="0" w:color="auto"/>
            <w:bottom w:val="none" w:sz="0" w:space="0" w:color="auto"/>
            <w:right w:val="none" w:sz="0" w:space="0" w:color="auto"/>
          </w:divBdr>
        </w:div>
        <w:div w:id="524639430">
          <w:marLeft w:val="0"/>
          <w:marRight w:val="0"/>
          <w:marTop w:val="0"/>
          <w:marBottom w:val="0"/>
          <w:divBdr>
            <w:top w:val="none" w:sz="0" w:space="0" w:color="auto"/>
            <w:left w:val="none" w:sz="0" w:space="0" w:color="auto"/>
            <w:bottom w:val="none" w:sz="0" w:space="0" w:color="auto"/>
            <w:right w:val="none" w:sz="0" w:space="0" w:color="auto"/>
          </w:divBdr>
        </w:div>
        <w:div w:id="545677390">
          <w:marLeft w:val="0"/>
          <w:marRight w:val="0"/>
          <w:marTop w:val="0"/>
          <w:marBottom w:val="0"/>
          <w:divBdr>
            <w:top w:val="none" w:sz="0" w:space="0" w:color="auto"/>
            <w:left w:val="none" w:sz="0" w:space="0" w:color="auto"/>
            <w:bottom w:val="none" w:sz="0" w:space="0" w:color="auto"/>
            <w:right w:val="none" w:sz="0" w:space="0" w:color="auto"/>
          </w:divBdr>
        </w:div>
        <w:div w:id="883097723">
          <w:marLeft w:val="0"/>
          <w:marRight w:val="0"/>
          <w:marTop w:val="0"/>
          <w:marBottom w:val="0"/>
          <w:divBdr>
            <w:top w:val="none" w:sz="0" w:space="0" w:color="auto"/>
            <w:left w:val="none" w:sz="0" w:space="0" w:color="auto"/>
            <w:bottom w:val="none" w:sz="0" w:space="0" w:color="auto"/>
            <w:right w:val="none" w:sz="0" w:space="0" w:color="auto"/>
          </w:divBdr>
        </w:div>
        <w:div w:id="1000349191">
          <w:marLeft w:val="0"/>
          <w:marRight w:val="0"/>
          <w:marTop w:val="0"/>
          <w:marBottom w:val="0"/>
          <w:divBdr>
            <w:top w:val="none" w:sz="0" w:space="0" w:color="auto"/>
            <w:left w:val="none" w:sz="0" w:space="0" w:color="auto"/>
            <w:bottom w:val="none" w:sz="0" w:space="0" w:color="auto"/>
            <w:right w:val="none" w:sz="0" w:space="0" w:color="auto"/>
          </w:divBdr>
        </w:div>
        <w:div w:id="1038969325">
          <w:marLeft w:val="0"/>
          <w:marRight w:val="0"/>
          <w:marTop w:val="0"/>
          <w:marBottom w:val="0"/>
          <w:divBdr>
            <w:top w:val="none" w:sz="0" w:space="0" w:color="auto"/>
            <w:left w:val="none" w:sz="0" w:space="0" w:color="auto"/>
            <w:bottom w:val="none" w:sz="0" w:space="0" w:color="auto"/>
            <w:right w:val="none" w:sz="0" w:space="0" w:color="auto"/>
          </w:divBdr>
        </w:div>
        <w:div w:id="1155609017">
          <w:marLeft w:val="0"/>
          <w:marRight w:val="0"/>
          <w:marTop w:val="0"/>
          <w:marBottom w:val="0"/>
          <w:divBdr>
            <w:top w:val="none" w:sz="0" w:space="0" w:color="auto"/>
            <w:left w:val="none" w:sz="0" w:space="0" w:color="auto"/>
            <w:bottom w:val="none" w:sz="0" w:space="0" w:color="auto"/>
            <w:right w:val="none" w:sz="0" w:space="0" w:color="auto"/>
          </w:divBdr>
        </w:div>
        <w:div w:id="1173959751">
          <w:marLeft w:val="0"/>
          <w:marRight w:val="0"/>
          <w:marTop w:val="0"/>
          <w:marBottom w:val="0"/>
          <w:divBdr>
            <w:top w:val="none" w:sz="0" w:space="0" w:color="auto"/>
            <w:left w:val="none" w:sz="0" w:space="0" w:color="auto"/>
            <w:bottom w:val="none" w:sz="0" w:space="0" w:color="auto"/>
            <w:right w:val="none" w:sz="0" w:space="0" w:color="auto"/>
          </w:divBdr>
        </w:div>
        <w:div w:id="1558007387">
          <w:marLeft w:val="0"/>
          <w:marRight w:val="0"/>
          <w:marTop w:val="0"/>
          <w:marBottom w:val="0"/>
          <w:divBdr>
            <w:top w:val="none" w:sz="0" w:space="0" w:color="auto"/>
            <w:left w:val="none" w:sz="0" w:space="0" w:color="auto"/>
            <w:bottom w:val="none" w:sz="0" w:space="0" w:color="auto"/>
            <w:right w:val="none" w:sz="0" w:space="0" w:color="auto"/>
          </w:divBdr>
        </w:div>
        <w:div w:id="1584071620">
          <w:marLeft w:val="0"/>
          <w:marRight w:val="0"/>
          <w:marTop w:val="0"/>
          <w:marBottom w:val="0"/>
          <w:divBdr>
            <w:top w:val="none" w:sz="0" w:space="0" w:color="auto"/>
            <w:left w:val="none" w:sz="0" w:space="0" w:color="auto"/>
            <w:bottom w:val="none" w:sz="0" w:space="0" w:color="auto"/>
            <w:right w:val="none" w:sz="0" w:space="0" w:color="auto"/>
          </w:divBdr>
        </w:div>
        <w:div w:id="1705641755">
          <w:marLeft w:val="0"/>
          <w:marRight w:val="0"/>
          <w:marTop w:val="0"/>
          <w:marBottom w:val="0"/>
          <w:divBdr>
            <w:top w:val="none" w:sz="0" w:space="0" w:color="auto"/>
            <w:left w:val="none" w:sz="0" w:space="0" w:color="auto"/>
            <w:bottom w:val="none" w:sz="0" w:space="0" w:color="auto"/>
            <w:right w:val="none" w:sz="0" w:space="0" w:color="auto"/>
          </w:divBdr>
        </w:div>
        <w:div w:id="1711228141">
          <w:marLeft w:val="0"/>
          <w:marRight w:val="0"/>
          <w:marTop w:val="0"/>
          <w:marBottom w:val="0"/>
          <w:divBdr>
            <w:top w:val="none" w:sz="0" w:space="0" w:color="auto"/>
            <w:left w:val="none" w:sz="0" w:space="0" w:color="auto"/>
            <w:bottom w:val="none" w:sz="0" w:space="0" w:color="auto"/>
            <w:right w:val="none" w:sz="0" w:space="0" w:color="auto"/>
          </w:divBdr>
        </w:div>
        <w:div w:id="1853490934">
          <w:marLeft w:val="0"/>
          <w:marRight w:val="0"/>
          <w:marTop w:val="0"/>
          <w:marBottom w:val="0"/>
          <w:divBdr>
            <w:top w:val="none" w:sz="0" w:space="0" w:color="auto"/>
            <w:left w:val="none" w:sz="0" w:space="0" w:color="auto"/>
            <w:bottom w:val="none" w:sz="0" w:space="0" w:color="auto"/>
            <w:right w:val="none" w:sz="0" w:space="0" w:color="auto"/>
          </w:divBdr>
        </w:div>
        <w:div w:id="1868834874">
          <w:marLeft w:val="0"/>
          <w:marRight w:val="0"/>
          <w:marTop w:val="0"/>
          <w:marBottom w:val="0"/>
          <w:divBdr>
            <w:top w:val="none" w:sz="0" w:space="0" w:color="auto"/>
            <w:left w:val="none" w:sz="0" w:space="0" w:color="auto"/>
            <w:bottom w:val="none" w:sz="0" w:space="0" w:color="auto"/>
            <w:right w:val="none" w:sz="0" w:space="0" w:color="auto"/>
          </w:divBdr>
        </w:div>
        <w:div w:id="1936399910">
          <w:marLeft w:val="0"/>
          <w:marRight w:val="0"/>
          <w:marTop w:val="0"/>
          <w:marBottom w:val="0"/>
          <w:divBdr>
            <w:top w:val="none" w:sz="0" w:space="0" w:color="auto"/>
            <w:left w:val="none" w:sz="0" w:space="0" w:color="auto"/>
            <w:bottom w:val="none" w:sz="0" w:space="0" w:color="auto"/>
            <w:right w:val="none" w:sz="0" w:space="0" w:color="auto"/>
          </w:divBdr>
        </w:div>
        <w:div w:id="1981689452">
          <w:marLeft w:val="0"/>
          <w:marRight w:val="0"/>
          <w:marTop w:val="0"/>
          <w:marBottom w:val="0"/>
          <w:divBdr>
            <w:top w:val="none" w:sz="0" w:space="0" w:color="auto"/>
            <w:left w:val="none" w:sz="0" w:space="0" w:color="auto"/>
            <w:bottom w:val="none" w:sz="0" w:space="0" w:color="auto"/>
            <w:right w:val="none" w:sz="0" w:space="0" w:color="auto"/>
          </w:divBdr>
        </w:div>
        <w:div w:id="2088844117">
          <w:marLeft w:val="0"/>
          <w:marRight w:val="0"/>
          <w:marTop w:val="0"/>
          <w:marBottom w:val="0"/>
          <w:divBdr>
            <w:top w:val="none" w:sz="0" w:space="0" w:color="auto"/>
            <w:left w:val="none" w:sz="0" w:space="0" w:color="auto"/>
            <w:bottom w:val="none" w:sz="0" w:space="0" w:color="auto"/>
            <w:right w:val="none" w:sz="0" w:space="0" w:color="auto"/>
          </w:divBdr>
        </w:div>
        <w:div w:id="2135637766">
          <w:marLeft w:val="0"/>
          <w:marRight w:val="0"/>
          <w:marTop w:val="0"/>
          <w:marBottom w:val="0"/>
          <w:divBdr>
            <w:top w:val="none" w:sz="0" w:space="0" w:color="auto"/>
            <w:left w:val="none" w:sz="0" w:space="0" w:color="auto"/>
            <w:bottom w:val="none" w:sz="0" w:space="0" w:color="auto"/>
            <w:right w:val="none" w:sz="0" w:space="0" w:color="auto"/>
          </w:divBdr>
        </w:div>
      </w:divsChild>
    </w:div>
    <w:div w:id="1229338342">
      <w:bodyDiv w:val="1"/>
      <w:marLeft w:val="0"/>
      <w:marRight w:val="0"/>
      <w:marTop w:val="0"/>
      <w:marBottom w:val="0"/>
      <w:divBdr>
        <w:top w:val="none" w:sz="0" w:space="0" w:color="auto"/>
        <w:left w:val="none" w:sz="0" w:space="0" w:color="auto"/>
        <w:bottom w:val="none" w:sz="0" w:space="0" w:color="auto"/>
        <w:right w:val="none" w:sz="0" w:space="0" w:color="auto"/>
      </w:divBdr>
      <w:divsChild>
        <w:div w:id="101536902">
          <w:marLeft w:val="0"/>
          <w:marRight w:val="0"/>
          <w:marTop w:val="0"/>
          <w:marBottom w:val="0"/>
          <w:divBdr>
            <w:top w:val="none" w:sz="0" w:space="0" w:color="auto"/>
            <w:left w:val="none" w:sz="0" w:space="0" w:color="auto"/>
            <w:bottom w:val="none" w:sz="0" w:space="0" w:color="auto"/>
            <w:right w:val="none" w:sz="0" w:space="0" w:color="auto"/>
          </w:divBdr>
        </w:div>
        <w:div w:id="143158644">
          <w:marLeft w:val="0"/>
          <w:marRight w:val="0"/>
          <w:marTop w:val="0"/>
          <w:marBottom w:val="0"/>
          <w:divBdr>
            <w:top w:val="none" w:sz="0" w:space="0" w:color="auto"/>
            <w:left w:val="none" w:sz="0" w:space="0" w:color="auto"/>
            <w:bottom w:val="none" w:sz="0" w:space="0" w:color="auto"/>
            <w:right w:val="none" w:sz="0" w:space="0" w:color="auto"/>
          </w:divBdr>
        </w:div>
        <w:div w:id="338582324">
          <w:marLeft w:val="0"/>
          <w:marRight w:val="0"/>
          <w:marTop w:val="0"/>
          <w:marBottom w:val="0"/>
          <w:divBdr>
            <w:top w:val="none" w:sz="0" w:space="0" w:color="auto"/>
            <w:left w:val="none" w:sz="0" w:space="0" w:color="auto"/>
            <w:bottom w:val="none" w:sz="0" w:space="0" w:color="auto"/>
            <w:right w:val="none" w:sz="0" w:space="0" w:color="auto"/>
          </w:divBdr>
        </w:div>
        <w:div w:id="521360364">
          <w:marLeft w:val="0"/>
          <w:marRight w:val="0"/>
          <w:marTop w:val="0"/>
          <w:marBottom w:val="0"/>
          <w:divBdr>
            <w:top w:val="none" w:sz="0" w:space="0" w:color="auto"/>
            <w:left w:val="none" w:sz="0" w:space="0" w:color="auto"/>
            <w:bottom w:val="none" w:sz="0" w:space="0" w:color="auto"/>
            <w:right w:val="none" w:sz="0" w:space="0" w:color="auto"/>
          </w:divBdr>
        </w:div>
        <w:div w:id="551966539">
          <w:marLeft w:val="0"/>
          <w:marRight w:val="0"/>
          <w:marTop w:val="0"/>
          <w:marBottom w:val="0"/>
          <w:divBdr>
            <w:top w:val="none" w:sz="0" w:space="0" w:color="auto"/>
            <w:left w:val="none" w:sz="0" w:space="0" w:color="auto"/>
            <w:bottom w:val="none" w:sz="0" w:space="0" w:color="auto"/>
            <w:right w:val="none" w:sz="0" w:space="0" w:color="auto"/>
          </w:divBdr>
        </w:div>
        <w:div w:id="716583185">
          <w:marLeft w:val="0"/>
          <w:marRight w:val="0"/>
          <w:marTop w:val="0"/>
          <w:marBottom w:val="0"/>
          <w:divBdr>
            <w:top w:val="none" w:sz="0" w:space="0" w:color="auto"/>
            <w:left w:val="none" w:sz="0" w:space="0" w:color="auto"/>
            <w:bottom w:val="none" w:sz="0" w:space="0" w:color="auto"/>
            <w:right w:val="none" w:sz="0" w:space="0" w:color="auto"/>
          </w:divBdr>
        </w:div>
        <w:div w:id="729572508">
          <w:marLeft w:val="0"/>
          <w:marRight w:val="0"/>
          <w:marTop w:val="0"/>
          <w:marBottom w:val="0"/>
          <w:divBdr>
            <w:top w:val="none" w:sz="0" w:space="0" w:color="auto"/>
            <w:left w:val="none" w:sz="0" w:space="0" w:color="auto"/>
            <w:bottom w:val="none" w:sz="0" w:space="0" w:color="auto"/>
            <w:right w:val="none" w:sz="0" w:space="0" w:color="auto"/>
          </w:divBdr>
        </w:div>
        <w:div w:id="858085393">
          <w:marLeft w:val="0"/>
          <w:marRight w:val="0"/>
          <w:marTop w:val="0"/>
          <w:marBottom w:val="0"/>
          <w:divBdr>
            <w:top w:val="none" w:sz="0" w:space="0" w:color="auto"/>
            <w:left w:val="none" w:sz="0" w:space="0" w:color="auto"/>
            <w:bottom w:val="none" w:sz="0" w:space="0" w:color="auto"/>
            <w:right w:val="none" w:sz="0" w:space="0" w:color="auto"/>
          </w:divBdr>
        </w:div>
        <w:div w:id="877425551">
          <w:marLeft w:val="0"/>
          <w:marRight w:val="0"/>
          <w:marTop w:val="0"/>
          <w:marBottom w:val="0"/>
          <w:divBdr>
            <w:top w:val="none" w:sz="0" w:space="0" w:color="auto"/>
            <w:left w:val="none" w:sz="0" w:space="0" w:color="auto"/>
            <w:bottom w:val="none" w:sz="0" w:space="0" w:color="auto"/>
            <w:right w:val="none" w:sz="0" w:space="0" w:color="auto"/>
          </w:divBdr>
        </w:div>
        <w:div w:id="923880902">
          <w:marLeft w:val="0"/>
          <w:marRight w:val="0"/>
          <w:marTop w:val="0"/>
          <w:marBottom w:val="0"/>
          <w:divBdr>
            <w:top w:val="none" w:sz="0" w:space="0" w:color="auto"/>
            <w:left w:val="none" w:sz="0" w:space="0" w:color="auto"/>
            <w:bottom w:val="none" w:sz="0" w:space="0" w:color="auto"/>
            <w:right w:val="none" w:sz="0" w:space="0" w:color="auto"/>
          </w:divBdr>
        </w:div>
        <w:div w:id="943652940">
          <w:marLeft w:val="0"/>
          <w:marRight w:val="0"/>
          <w:marTop w:val="0"/>
          <w:marBottom w:val="0"/>
          <w:divBdr>
            <w:top w:val="none" w:sz="0" w:space="0" w:color="auto"/>
            <w:left w:val="none" w:sz="0" w:space="0" w:color="auto"/>
            <w:bottom w:val="none" w:sz="0" w:space="0" w:color="auto"/>
            <w:right w:val="none" w:sz="0" w:space="0" w:color="auto"/>
          </w:divBdr>
        </w:div>
        <w:div w:id="1386223830">
          <w:marLeft w:val="0"/>
          <w:marRight w:val="0"/>
          <w:marTop w:val="0"/>
          <w:marBottom w:val="0"/>
          <w:divBdr>
            <w:top w:val="none" w:sz="0" w:space="0" w:color="auto"/>
            <w:left w:val="none" w:sz="0" w:space="0" w:color="auto"/>
            <w:bottom w:val="none" w:sz="0" w:space="0" w:color="auto"/>
            <w:right w:val="none" w:sz="0" w:space="0" w:color="auto"/>
          </w:divBdr>
        </w:div>
        <w:div w:id="1474519685">
          <w:marLeft w:val="0"/>
          <w:marRight w:val="0"/>
          <w:marTop w:val="0"/>
          <w:marBottom w:val="0"/>
          <w:divBdr>
            <w:top w:val="none" w:sz="0" w:space="0" w:color="auto"/>
            <w:left w:val="none" w:sz="0" w:space="0" w:color="auto"/>
            <w:bottom w:val="none" w:sz="0" w:space="0" w:color="auto"/>
            <w:right w:val="none" w:sz="0" w:space="0" w:color="auto"/>
          </w:divBdr>
        </w:div>
        <w:div w:id="1619725056">
          <w:marLeft w:val="0"/>
          <w:marRight w:val="0"/>
          <w:marTop w:val="0"/>
          <w:marBottom w:val="0"/>
          <w:divBdr>
            <w:top w:val="none" w:sz="0" w:space="0" w:color="auto"/>
            <w:left w:val="none" w:sz="0" w:space="0" w:color="auto"/>
            <w:bottom w:val="none" w:sz="0" w:space="0" w:color="auto"/>
            <w:right w:val="none" w:sz="0" w:space="0" w:color="auto"/>
          </w:divBdr>
        </w:div>
        <w:div w:id="1634628254">
          <w:marLeft w:val="0"/>
          <w:marRight w:val="0"/>
          <w:marTop w:val="0"/>
          <w:marBottom w:val="0"/>
          <w:divBdr>
            <w:top w:val="none" w:sz="0" w:space="0" w:color="auto"/>
            <w:left w:val="none" w:sz="0" w:space="0" w:color="auto"/>
            <w:bottom w:val="none" w:sz="0" w:space="0" w:color="auto"/>
            <w:right w:val="none" w:sz="0" w:space="0" w:color="auto"/>
          </w:divBdr>
        </w:div>
        <w:div w:id="1698240075">
          <w:marLeft w:val="0"/>
          <w:marRight w:val="0"/>
          <w:marTop w:val="0"/>
          <w:marBottom w:val="0"/>
          <w:divBdr>
            <w:top w:val="none" w:sz="0" w:space="0" w:color="auto"/>
            <w:left w:val="none" w:sz="0" w:space="0" w:color="auto"/>
            <w:bottom w:val="none" w:sz="0" w:space="0" w:color="auto"/>
            <w:right w:val="none" w:sz="0" w:space="0" w:color="auto"/>
          </w:divBdr>
        </w:div>
        <w:div w:id="1750880102">
          <w:marLeft w:val="0"/>
          <w:marRight w:val="0"/>
          <w:marTop w:val="0"/>
          <w:marBottom w:val="0"/>
          <w:divBdr>
            <w:top w:val="none" w:sz="0" w:space="0" w:color="auto"/>
            <w:left w:val="none" w:sz="0" w:space="0" w:color="auto"/>
            <w:bottom w:val="none" w:sz="0" w:space="0" w:color="auto"/>
            <w:right w:val="none" w:sz="0" w:space="0" w:color="auto"/>
          </w:divBdr>
        </w:div>
        <w:div w:id="1772894638">
          <w:marLeft w:val="0"/>
          <w:marRight w:val="0"/>
          <w:marTop w:val="0"/>
          <w:marBottom w:val="0"/>
          <w:divBdr>
            <w:top w:val="none" w:sz="0" w:space="0" w:color="auto"/>
            <w:left w:val="none" w:sz="0" w:space="0" w:color="auto"/>
            <w:bottom w:val="none" w:sz="0" w:space="0" w:color="auto"/>
            <w:right w:val="none" w:sz="0" w:space="0" w:color="auto"/>
          </w:divBdr>
        </w:div>
        <w:div w:id="1830444767">
          <w:marLeft w:val="0"/>
          <w:marRight w:val="0"/>
          <w:marTop w:val="0"/>
          <w:marBottom w:val="0"/>
          <w:divBdr>
            <w:top w:val="none" w:sz="0" w:space="0" w:color="auto"/>
            <w:left w:val="none" w:sz="0" w:space="0" w:color="auto"/>
            <w:bottom w:val="none" w:sz="0" w:space="0" w:color="auto"/>
            <w:right w:val="none" w:sz="0" w:space="0" w:color="auto"/>
          </w:divBdr>
        </w:div>
        <w:div w:id="2054965856">
          <w:marLeft w:val="0"/>
          <w:marRight w:val="0"/>
          <w:marTop w:val="0"/>
          <w:marBottom w:val="0"/>
          <w:divBdr>
            <w:top w:val="none" w:sz="0" w:space="0" w:color="auto"/>
            <w:left w:val="none" w:sz="0" w:space="0" w:color="auto"/>
            <w:bottom w:val="none" w:sz="0" w:space="0" w:color="auto"/>
            <w:right w:val="none" w:sz="0" w:space="0" w:color="auto"/>
          </w:divBdr>
        </w:div>
        <w:div w:id="2069450357">
          <w:marLeft w:val="0"/>
          <w:marRight w:val="0"/>
          <w:marTop w:val="0"/>
          <w:marBottom w:val="0"/>
          <w:divBdr>
            <w:top w:val="none" w:sz="0" w:space="0" w:color="auto"/>
            <w:left w:val="none" w:sz="0" w:space="0" w:color="auto"/>
            <w:bottom w:val="none" w:sz="0" w:space="0" w:color="auto"/>
            <w:right w:val="none" w:sz="0" w:space="0" w:color="auto"/>
          </w:divBdr>
        </w:div>
      </w:divsChild>
    </w:div>
    <w:div w:id="1237322349">
      <w:bodyDiv w:val="1"/>
      <w:marLeft w:val="0"/>
      <w:marRight w:val="0"/>
      <w:marTop w:val="0"/>
      <w:marBottom w:val="0"/>
      <w:divBdr>
        <w:top w:val="none" w:sz="0" w:space="0" w:color="auto"/>
        <w:left w:val="none" w:sz="0" w:space="0" w:color="auto"/>
        <w:bottom w:val="none" w:sz="0" w:space="0" w:color="auto"/>
        <w:right w:val="none" w:sz="0" w:space="0" w:color="auto"/>
      </w:divBdr>
      <w:divsChild>
        <w:div w:id="1265575040">
          <w:marLeft w:val="0"/>
          <w:marRight w:val="0"/>
          <w:marTop w:val="450"/>
          <w:marBottom w:val="450"/>
          <w:divBdr>
            <w:top w:val="none" w:sz="0" w:space="0" w:color="auto"/>
            <w:left w:val="none" w:sz="0" w:space="0" w:color="auto"/>
            <w:bottom w:val="none" w:sz="0" w:space="0" w:color="auto"/>
            <w:right w:val="none" w:sz="0" w:space="0" w:color="auto"/>
          </w:divBdr>
          <w:divsChild>
            <w:div w:id="443496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7500686">
      <w:bodyDiv w:val="1"/>
      <w:marLeft w:val="0"/>
      <w:marRight w:val="0"/>
      <w:marTop w:val="0"/>
      <w:marBottom w:val="0"/>
      <w:divBdr>
        <w:top w:val="none" w:sz="0" w:space="0" w:color="auto"/>
        <w:left w:val="none" w:sz="0" w:space="0" w:color="auto"/>
        <w:bottom w:val="none" w:sz="0" w:space="0" w:color="auto"/>
        <w:right w:val="none" w:sz="0" w:space="0" w:color="auto"/>
      </w:divBdr>
    </w:div>
    <w:div w:id="1252397692">
      <w:bodyDiv w:val="1"/>
      <w:marLeft w:val="0"/>
      <w:marRight w:val="0"/>
      <w:marTop w:val="0"/>
      <w:marBottom w:val="0"/>
      <w:divBdr>
        <w:top w:val="none" w:sz="0" w:space="0" w:color="auto"/>
        <w:left w:val="none" w:sz="0" w:space="0" w:color="auto"/>
        <w:bottom w:val="none" w:sz="0" w:space="0" w:color="auto"/>
        <w:right w:val="none" w:sz="0" w:space="0" w:color="auto"/>
      </w:divBdr>
    </w:div>
    <w:div w:id="1255552100">
      <w:bodyDiv w:val="1"/>
      <w:marLeft w:val="0"/>
      <w:marRight w:val="0"/>
      <w:marTop w:val="0"/>
      <w:marBottom w:val="0"/>
      <w:divBdr>
        <w:top w:val="none" w:sz="0" w:space="0" w:color="auto"/>
        <w:left w:val="none" w:sz="0" w:space="0" w:color="auto"/>
        <w:bottom w:val="none" w:sz="0" w:space="0" w:color="auto"/>
        <w:right w:val="none" w:sz="0" w:space="0" w:color="auto"/>
      </w:divBdr>
    </w:div>
    <w:div w:id="1292590071">
      <w:bodyDiv w:val="1"/>
      <w:marLeft w:val="0"/>
      <w:marRight w:val="0"/>
      <w:marTop w:val="0"/>
      <w:marBottom w:val="0"/>
      <w:divBdr>
        <w:top w:val="none" w:sz="0" w:space="0" w:color="auto"/>
        <w:left w:val="none" w:sz="0" w:space="0" w:color="auto"/>
        <w:bottom w:val="none" w:sz="0" w:space="0" w:color="auto"/>
        <w:right w:val="none" w:sz="0" w:space="0" w:color="auto"/>
      </w:divBdr>
      <w:divsChild>
        <w:div w:id="76249087">
          <w:marLeft w:val="0"/>
          <w:marRight w:val="0"/>
          <w:marTop w:val="0"/>
          <w:marBottom w:val="0"/>
          <w:divBdr>
            <w:top w:val="none" w:sz="0" w:space="0" w:color="auto"/>
            <w:left w:val="none" w:sz="0" w:space="0" w:color="auto"/>
            <w:bottom w:val="none" w:sz="0" w:space="0" w:color="auto"/>
            <w:right w:val="none" w:sz="0" w:space="0" w:color="auto"/>
          </w:divBdr>
        </w:div>
        <w:div w:id="149031299">
          <w:marLeft w:val="0"/>
          <w:marRight w:val="0"/>
          <w:marTop w:val="0"/>
          <w:marBottom w:val="0"/>
          <w:divBdr>
            <w:top w:val="none" w:sz="0" w:space="0" w:color="auto"/>
            <w:left w:val="none" w:sz="0" w:space="0" w:color="auto"/>
            <w:bottom w:val="none" w:sz="0" w:space="0" w:color="auto"/>
            <w:right w:val="none" w:sz="0" w:space="0" w:color="auto"/>
          </w:divBdr>
        </w:div>
        <w:div w:id="497043947">
          <w:marLeft w:val="0"/>
          <w:marRight w:val="0"/>
          <w:marTop w:val="0"/>
          <w:marBottom w:val="0"/>
          <w:divBdr>
            <w:top w:val="none" w:sz="0" w:space="0" w:color="auto"/>
            <w:left w:val="none" w:sz="0" w:space="0" w:color="auto"/>
            <w:bottom w:val="none" w:sz="0" w:space="0" w:color="auto"/>
            <w:right w:val="none" w:sz="0" w:space="0" w:color="auto"/>
          </w:divBdr>
        </w:div>
        <w:div w:id="1645354556">
          <w:marLeft w:val="0"/>
          <w:marRight w:val="0"/>
          <w:marTop w:val="0"/>
          <w:marBottom w:val="0"/>
          <w:divBdr>
            <w:top w:val="none" w:sz="0" w:space="0" w:color="auto"/>
            <w:left w:val="none" w:sz="0" w:space="0" w:color="auto"/>
            <w:bottom w:val="none" w:sz="0" w:space="0" w:color="auto"/>
            <w:right w:val="none" w:sz="0" w:space="0" w:color="auto"/>
          </w:divBdr>
        </w:div>
        <w:div w:id="1969117490">
          <w:marLeft w:val="0"/>
          <w:marRight w:val="0"/>
          <w:marTop w:val="0"/>
          <w:marBottom w:val="0"/>
          <w:divBdr>
            <w:top w:val="none" w:sz="0" w:space="0" w:color="auto"/>
            <w:left w:val="none" w:sz="0" w:space="0" w:color="auto"/>
            <w:bottom w:val="none" w:sz="0" w:space="0" w:color="auto"/>
            <w:right w:val="none" w:sz="0" w:space="0" w:color="auto"/>
          </w:divBdr>
        </w:div>
      </w:divsChild>
    </w:div>
    <w:div w:id="1297687666">
      <w:bodyDiv w:val="1"/>
      <w:marLeft w:val="0"/>
      <w:marRight w:val="0"/>
      <w:marTop w:val="0"/>
      <w:marBottom w:val="0"/>
      <w:divBdr>
        <w:top w:val="none" w:sz="0" w:space="0" w:color="auto"/>
        <w:left w:val="none" w:sz="0" w:space="0" w:color="auto"/>
        <w:bottom w:val="none" w:sz="0" w:space="0" w:color="auto"/>
        <w:right w:val="none" w:sz="0" w:space="0" w:color="auto"/>
      </w:divBdr>
      <w:divsChild>
        <w:div w:id="772362498">
          <w:marLeft w:val="274"/>
          <w:marRight w:val="0"/>
          <w:marTop w:val="120"/>
          <w:marBottom w:val="120"/>
          <w:divBdr>
            <w:top w:val="none" w:sz="0" w:space="0" w:color="auto"/>
            <w:left w:val="none" w:sz="0" w:space="0" w:color="auto"/>
            <w:bottom w:val="none" w:sz="0" w:space="0" w:color="auto"/>
            <w:right w:val="none" w:sz="0" w:space="0" w:color="auto"/>
          </w:divBdr>
        </w:div>
        <w:div w:id="2103135800">
          <w:marLeft w:val="274"/>
          <w:marRight w:val="0"/>
          <w:marTop w:val="120"/>
          <w:marBottom w:val="120"/>
          <w:divBdr>
            <w:top w:val="none" w:sz="0" w:space="0" w:color="auto"/>
            <w:left w:val="none" w:sz="0" w:space="0" w:color="auto"/>
            <w:bottom w:val="none" w:sz="0" w:space="0" w:color="auto"/>
            <w:right w:val="none" w:sz="0" w:space="0" w:color="auto"/>
          </w:divBdr>
        </w:div>
      </w:divsChild>
    </w:div>
    <w:div w:id="1309749593">
      <w:bodyDiv w:val="1"/>
      <w:marLeft w:val="0"/>
      <w:marRight w:val="0"/>
      <w:marTop w:val="0"/>
      <w:marBottom w:val="0"/>
      <w:divBdr>
        <w:top w:val="none" w:sz="0" w:space="0" w:color="auto"/>
        <w:left w:val="none" w:sz="0" w:space="0" w:color="auto"/>
        <w:bottom w:val="none" w:sz="0" w:space="0" w:color="auto"/>
        <w:right w:val="none" w:sz="0" w:space="0" w:color="auto"/>
      </w:divBdr>
      <w:divsChild>
        <w:div w:id="1872330022">
          <w:marLeft w:val="0"/>
          <w:marRight w:val="0"/>
          <w:marTop w:val="0"/>
          <w:marBottom w:val="0"/>
          <w:divBdr>
            <w:top w:val="none" w:sz="0" w:space="0" w:color="auto"/>
            <w:left w:val="none" w:sz="0" w:space="0" w:color="auto"/>
            <w:bottom w:val="none" w:sz="0" w:space="0" w:color="auto"/>
            <w:right w:val="none" w:sz="0" w:space="0" w:color="auto"/>
          </w:divBdr>
          <w:divsChild>
            <w:div w:id="648292428">
              <w:marLeft w:val="0"/>
              <w:marRight w:val="0"/>
              <w:marTop w:val="0"/>
              <w:marBottom w:val="0"/>
              <w:divBdr>
                <w:top w:val="none" w:sz="0" w:space="0" w:color="auto"/>
                <w:left w:val="none" w:sz="0" w:space="0" w:color="auto"/>
                <w:bottom w:val="none" w:sz="0" w:space="0" w:color="auto"/>
                <w:right w:val="none" w:sz="0" w:space="0" w:color="auto"/>
              </w:divBdr>
              <w:divsChild>
                <w:div w:id="74208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5989591">
      <w:bodyDiv w:val="1"/>
      <w:marLeft w:val="0"/>
      <w:marRight w:val="0"/>
      <w:marTop w:val="0"/>
      <w:marBottom w:val="0"/>
      <w:divBdr>
        <w:top w:val="none" w:sz="0" w:space="0" w:color="auto"/>
        <w:left w:val="none" w:sz="0" w:space="0" w:color="auto"/>
        <w:bottom w:val="none" w:sz="0" w:space="0" w:color="auto"/>
        <w:right w:val="none" w:sz="0" w:space="0" w:color="auto"/>
      </w:divBdr>
    </w:div>
    <w:div w:id="1319726618">
      <w:bodyDiv w:val="1"/>
      <w:marLeft w:val="0"/>
      <w:marRight w:val="0"/>
      <w:marTop w:val="0"/>
      <w:marBottom w:val="0"/>
      <w:divBdr>
        <w:top w:val="none" w:sz="0" w:space="0" w:color="auto"/>
        <w:left w:val="none" w:sz="0" w:space="0" w:color="auto"/>
        <w:bottom w:val="none" w:sz="0" w:space="0" w:color="auto"/>
        <w:right w:val="none" w:sz="0" w:space="0" w:color="auto"/>
      </w:divBdr>
      <w:divsChild>
        <w:div w:id="1893732442">
          <w:marLeft w:val="0"/>
          <w:marRight w:val="0"/>
          <w:marTop w:val="0"/>
          <w:marBottom w:val="0"/>
          <w:divBdr>
            <w:top w:val="none" w:sz="0" w:space="0" w:color="auto"/>
            <w:left w:val="none" w:sz="0" w:space="0" w:color="auto"/>
            <w:bottom w:val="none" w:sz="0" w:space="0" w:color="auto"/>
            <w:right w:val="none" w:sz="0" w:space="0" w:color="auto"/>
          </w:divBdr>
        </w:div>
      </w:divsChild>
    </w:div>
    <w:div w:id="1347558562">
      <w:bodyDiv w:val="1"/>
      <w:marLeft w:val="0"/>
      <w:marRight w:val="0"/>
      <w:marTop w:val="0"/>
      <w:marBottom w:val="0"/>
      <w:divBdr>
        <w:top w:val="none" w:sz="0" w:space="0" w:color="auto"/>
        <w:left w:val="none" w:sz="0" w:space="0" w:color="auto"/>
        <w:bottom w:val="none" w:sz="0" w:space="0" w:color="auto"/>
        <w:right w:val="none" w:sz="0" w:space="0" w:color="auto"/>
      </w:divBdr>
      <w:divsChild>
        <w:div w:id="378823602">
          <w:marLeft w:val="0"/>
          <w:marRight w:val="0"/>
          <w:marTop w:val="0"/>
          <w:marBottom w:val="0"/>
          <w:divBdr>
            <w:top w:val="none" w:sz="0" w:space="0" w:color="auto"/>
            <w:left w:val="none" w:sz="0" w:space="0" w:color="auto"/>
            <w:bottom w:val="none" w:sz="0" w:space="0" w:color="auto"/>
            <w:right w:val="none" w:sz="0" w:space="0" w:color="auto"/>
          </w:divBdr>
        </w:div>
        <w:div w:id="1111558260">
          <w:marLeft w:val="0"/>
          <w:marRight w:val="0"/>
          <w:marTop w:val="0"/>
          <w:marBottom w:val="0"/>
          <w:divBdr>
            <w:top w:val="none" w:sz="0" w:space="0" w:color="auto"/>
            <w:left w:val="none" w:sz="0" w:space="0" w:color="auto"/>
            <w:bottom w:val="none" w:sz="0" w:space="0" w:color="auto"/>
            <w:right w:val="none" w:sz="0" w:space="0" w:color="auto"/>
          </w:divBdr>
        </w:div>
        <w:div w:id="1423337019">
          <w:marLeft w:val="0"/>
          <w:marRight w:val="0"/>
          <w:marTop w:val="0"/>
          <w:marBottom w:val="0"/>
          <w:divBdr>
            <w:top w:val="none" w:sz="0" w:space="0" w:color="auto"/>
            <w:left w:val="none" w:sz="0" w:space="0" w:color="auto"/>
            <w:bottom w:val="none" w:sz="0" w:space="0" w:color="auto"/>
            <w:right w:val="none" w:sz="0" w:space="0" w:color="auto"/>
          </w:divBdr>
        </w:div>
      </w:divsChild>
    </w:div>
    <w:div w:id="1348215066">
      <w:bodyDiv w:val="1"/>
      <w:marLeft w:val="0"/>
      <w:marRight w:val="0"/>
      <w:marTop w:val="0"/>
      <w:marBottom w:val="0"/>
      <w:divBdr>
        <w:top w:val="none" w:sz="0" w:space="0" w:color="auto"/>
        <w:left w:val="none" w:sz="0" w:space="0" w:color="auto"/>
        <w:bottom w:val="none" w:sz="0" w:space="0" w:color="auto"/>
        <w:right w:val="none" w:sz="0" w:space="0" w:color="auto"/>
      </w:divBdr>
      <w:divsChild>
        <w:div w:id="56054388">
          <w:marLeft w:val="0"/>
          <w:marRight w:val="0"/>
          <w:marTop w:val="0"/>
          <w:marBottom w:val="0"/>
          <w:divBdr>
            <w:top w:val="none" w:sz="0" w:space="0" w:color="auto"/>
            <w:left w:val="none" w:sz="0" w:space="0" w:color="auto"/>
            <w:bottom w:val="none" w:sz="0" w:space="0" w:color="auto"/>
            <w:right w:val="none" w:sz="0" w:space="0" w:color="auto"/>
          </w:divBdr>
        </w:div>
        <w:div w:id="302002979">
          <w:marLeft w:val="0"/>
          <w:marRight w:val="0"/>
          <w:marTop w:val="0"/>
          <w:marBottom w:val="0"/>
          <w:divBdr>
            <w:top w:val="none" w:sz="0" w:space="0" w:color="auto"/>
            <w:left w:val="none" w:sz="0" w:space="0" w:color="auto"/>
            <w:bottom w:val="none" w:sz="0" w:space="0" w:color="auto"/>
            <w:right w:val="none" w:sz="0" w:space="0" w:color="auto"/>
          </w:divBdr>
        </w:div>
        <w:div w:id="321473903">
          <w:marLeft w:val="0"/>
          <w:marRight w:val="0"/>
          <w:marTop w:val="0"/>
          <w:marBottom w:val="0"/>
          <w:divBdr>
            <w:top w:val="none" w:sz="0" w:space="0" w:color="auto"/>
            <w:left w:val="none" w:sz="0" w:space="0" w:color="auto"/>
            <w:bottom w:val="none" w:sz="0" w:space="0" w:color="auto"/>
            <w:right w:val="none" w:sz="0" w:space="0" w:color="auto"/>
          </w:divBdr>
        </w:div>
        <w:div w:id="348064748">
          <w:marLeft w:val="0"/>
          <w:marRight w:val="0"/>
          <w:marTop w:val="0"/>
          <w:marBottom w:val="0"/>
          <w:divBdr>
            <w:top w:val="none" w:sz="0" w:space="0" w:color="auto"/>
            <w:left w:val="none" w:sz="0" w:space="0" w:color="auto"/>
            <w:bottom w:val="none" w:sz="0" w:space="0" w:color="auto"/>
            <w:right w:val="none" w:sz="0" w:space="0" w:color="auto"/>
          </w:divBdr>
        </w:div>
        <w:div w:id="362944291">
          <w:marLeft w:val="0"/>
          <w:marRight w:val="0"/>
          <w:marTop w:val="0"/>
          <w:marBottom w:val="0"/>
          <w:divBdr>
            <w:top w:val="none" w:sz="0" w:space="0" w:color="auto"/>
            <w:left w:val="none" w:sz="0" w:space="0" w:color="auto"/>
            <w:bottom w:val="none" w:sz="0" w:space="0" w:color="auto"/>
            <w:right w:val="none" w:sz="0" w:space="0" w:color="auto"/>
          </w:divBdr>
        </w:div>
        <w:div w:id="389498507">
          <w:marLeft w:val="0"/>
          <w:marRight w:val="0"/>
          <w:marTop w:val="0"/>
          <w:marBottom w:val="0"/>
          <w:divBdr>
            <w:top w:val="none" w:sz="0" w:space="0" w:color="auto"/>
            <w:left w:val="none" w:sz="0" w:space="0" w:color="auto"/>
            <w:bottom w:val="none" w:sz="0" w:space="0" w:color="auto"/>
            <w:right w:val="none" w:sz="0" w:space="0" w:color="auto"/>
          </w:divBdr>
        </w:div>
        <w:div w:id="397872457">
          <w:marLeft w:val="0"/>
          <w:marRight w:val="0"/>
          <w:marTop w:val="0"/>
          <w:marBottom w:val="0"/>
          <w:divBdr>
            <w:top w:val="none" w:sz="0" w:space="0" w:color="auto"/>
            <w:left w:val="none" w:sz="0" w:space="0" w:color="auto"/>
            <w:bottom w:val="none" w:sz="0" w:space="0" w:color="auto"/>
            <w:right w:val="none" w:sz="0" w:space="0" w:color="auto"/>
          </w:divBdr>
        </w:div>
        <w:div w:id="476801513">
          <w:marLeft w:val="0"/>
          <w:marRight w:val="0"/>
          <w:marTop w:val="0"/>
          <w:marBottom w:val="0"/>
          <w:divBdr>
            <w:top w:val="none" w:sz="0" w:space="0" w:color="auto"/>
            <w:left w:val="none" w:sz="0" w:space="0" w:color="auto"/>
            <w:bottom w:val="none" w:sz="0" w:space="0" w:color="auto"/>
            <w:right w:val="none" w:sz="0" w:space="0" w:color="auto"/>
          </w:divBdr>
        </w:div>
        <w:div w:id="512493906">
          <w:marLeft w:val="0"/>
          <w:marRight w:val="0"/>
          <w:marTop w:val="0"/>
          <w:marBottom w:val="0"/>
          <w:divBdr>
            <w:top w:val="none" w:sz="0" w:space="0" w:color="auto"/>
            <w:left w:val="none" w:sz="0" w:space="0" w:color="auto"/>
            <w:bottom w:val="none" w:sz="0" w:space="0" w:color="auto"/>
            <w:right w:val="none" w:sz="0" w:space="0" w:color="auto"/>
          </w:divBdr>
        </w:div>
        <w:div w:id="582304101">
          <w:marLeft w:val="0"/>
          <w:marRight w:val="0"/>
          <w:marTop w:val="0"/>
          <w:marBottom w:val="0"/>
          <w:divBdr>
            <w:top w:val="none" w:sz="0" w:space="0" w:color="auto"/>
            <w:left w:val="none" w:sz="0" w:space="0" w:color="auto"/>
            <w:bottom w:val="none" w:sz="0" w:space="0" w:color="auto"/>
            <w:right w:val="none" w:sz="0" w:space="0" w:color="auto"/>
          </w:divBdr>
        </w:div>
        <w:div w:id="724446369">
          <w:marLeft w:val="0"/>
          <w:marRight w:val="0"/>
          <w:marTop w:val="0"/>
          <w:marBottom w:val="0"/>
          <w:divBdr>
            <w:top w:val="none" w:sz="0" w:space="0" w:color="auto"/>
            <w:left w:val="none" w:sz="0" w:space="0" w:color="auto"/>
            <w:bottom w:val="none" w:sz="0" w:space="0" w:color="auto"/>
            <w:right w:val="none" w:sz="0" w:space="0" w:color="auto"/>
          </w:divBdr>
        </w:div>
        <w:div w:id="744188014">
          <w:marLeft w:val="0"/>
          <w:marRight w:val="0"/>
          <w:marTop w:val="0"/>
          <w:marBottom w:val="0"/>
          <w:divBdr>
            <w:top w:val="none" w:sz="0" w:space="0" w:color="auto"/>
            <w:left w:val="none" w:sz="0" w:space="0" w:color="auto"/>
            <w:bottom w:val="none" w:sz="0" w:space="0" w:color="auto"/>
            <w:right w:val="none" w:sz="0" w:space="0" w:color="auto"/>
          </w:divBdr>
        </w:div>
        <w:div w:id="745955063">
          <w:marLeft w:val="0"/>
          <w:marRight w:val="0"/>
          <w:marTop w:val="0"/>
          <w:marBottom w:val="0"/>
          <w:divBdr>
            <w:top w:val="none" w:sz="0" w:space="0" w:color="auto"/>
            <w:left w:val="none" w:sz="0" w:space="0" w:color="auto"/>
            <w:bottom w:val="none" w:sz="0" w:space="0" w:color="auto"/>
            <w:right w:val="none" w:sz="0" w:space="0" w:color="auto"/>
          </w:divBdr>
        </w:div>
        <w:div w:id="763109955">
          <w:marLeft w:val="0"/>
          <w:marRight w:val="0"/>
          <w:marTop w:val="0"/>
          <w:marBottom w:val="0"/>
          <w:divBdr>
            <w:top w:val="none" w:sz="0" w:space="0" w:color="auto"/>
            <w:left w:val="none" w:sz="0" w:space="0" w:color="auto"/>
            <w:bottom w:val="none" w:sz="0" w:space="0" w:color="auto"/>
            <w:right w:val="none" w:sz="0" w:space="0" w:color="auto"/>
          </w:divBdr>
        </w:div>
        <w:div w:id="788624488">
          <w:marLeft w:val="0"/>
          <w:marRight w:val="0"/>
          <w:marTop w:val="0"/>
          <w:marBottom w:val="0"/>
          <w:divBdr>
            <w:top w:val="none" w:sz="0" w:space="0" w:color="auto"/>
            <w:left w:val="none" w:sz="0" w:space="0" w:color="auto"/>
            <w:bottom w:val="none" w:sz="0" w:space="0" w:color="auto"/>
            <w:right w:val="none" w:sz="0" w:space="0" w:color="auto"/>
          </w:divBdr>
        </w:div>
        <w:div w:id="794327695">
          <w:marLeft w:val="0"/>
          <w:marRight w:val="0"/>
          <w:marTop w:val="0"/>
          <w:marBottom w:val="0"/>
          <w:divBdr>
            <w:top w:val="none" w:sz="0" w:space="0" w:color="auto"/>
            <w:left w:val="none" w:sz="0" w:space="0" w:color="auto"/>
            <w:bottom w:val="none" w:sz="0" w:space="0" w:color="auto"/>
            <w:right w:val="none" w:sz="0" w:space="0" w:color="auto"/>
          </w:divBdr>
        </w:div>
        <w:div w:id="923732638">
          <w:marLeft w:val="0"/>
          <w:marRight w:val="0"/>
          <w:marTop w:val="0"/>
          <w:marBottom w:val="0"/>
          <w:divBdr>
            <w:top w:val="none" w:sz="0" w:space="0" w:color="auto"/>
            <w:left w:val="none" w:sz="0" w:space="0" w:color="auto"/>
            <w:bottom w:val="none" w:sz="0" w:space="0" w:color="auto"/>
            <w:right w:val="none" w:sz="0" w:space="0" w:color="auto"/>
          </w:divBdr>
        </w:div>
        <w:div w:id="936136366">
          <w:marLeft w:val="0"/>
          <w:marRight w:val="0"/>
          <w:marTop w:val="0"/>
          <w:marBottom w:val="0"/>
          <w:divBdr>
            <w:top w:val="none" w:sz="0" w:space="0" w:color="auto"/>
            <w:left w:val="none" w:sz="0" w:space="0" w:color="auto"/>
            <w:bottom w:val="none" w:sz="0" w:space="0" w:color="auto"/>
            <w:right w:val="none" w:sz="0" w:space="0" w:color="auto"/>
          </w:divBdr>
        </w:div>
        <w:div w:id="1142232672">
          <w:marLeft w:val="0"/>
          <w:marRight w:val="0"/>
          <w:marTop w:val="0"/>
          <w:marBottom w:val="0"/>
          <w:divBdr>
            <w:top w:val="none" w:sz="0" w:space="0" w:color="auto"/>
            <w:left w:val="none" w:sz="0" w:space="0" w:color="auto"/>
            <w:bottom w:val="none" w:sz="0" w:space="0" w:color="auto"/>
            <w:right w:val="none" w:sz="0" w:space="0" w:color="auto"/>
          </w:divBdr>
        </w:div>
        <w:div w:id="1154763553">
          <w:marLeft w:val="0"/>
          <w:marRight w:val="0"/>
          <w:marTop w:val="0"/>
          <w:marBottom w:val="0"/>
          <w:divBdr>
            <w:top w:val="none" w:sz="0" w:space="0" w:color="auto"/>
            <w:left w:val="none" w:sz="0" w:space="0" w:color="auto"/>
            <w:bottom w:val="none" w:sz="0" w:space="0" w:color="auto"/>
            <w:right w:val="none" w:sz="0" w:space="0" w:color="auto"/>
          </w:divBdr>
        </w:div>
        <w:div w:id="1155072946">
          <w:marLeft w:val="0"/>
          <w:marRight w:val="0"/>
          <w:marTop w:val="0"/>
          <w:marBottom w:val="0"/>
          <w:divBdr>
            <w:top w:val="none" w:sz="0" w:space="0" w:color="auto"/>
            <w:left w:val="none" w:sz="0" w:space="0" w:color="auto"/>
            <w:bottom w:val="none" w:sz="0" w:space="0" w:color="auto"/>
            <w:right w:val="none" w:sz="0" w:space="0" w:color="auto"/>
          </w:divBdr>
        </w:div>
        <w:div w:id="1162550304">
          <w:marLeft w:val="0"/>
          <w:marRight w:val="0"/>
          <w:marTop w:val="0"/>
          <w:marBottom w:val="0"/>
          <w:divBdr>
            <w:top w:val="none" w:sz="0" w:space="0" w:color="auto"/>
            <w:left w:val="none" w:sz="0" w:space="0" w:color="auto"/>
            <w:bottom w:val="none" w:sz="0" w:space="0" w:color="auto"/>
            <w:right w:val="none" w:sz="0" w:space="0" w:color="auto"/>
          </w:divBdr>
        </w:div>
        <w:div w:id="1208642011">
          <w:marLeft w:val="0"/>
          <w:marRight w:val="0"/>
          <w:marTop w:val="0"/>
          <w:marBottom w:val="0"/>
          <w:divBdr>
            <w:top w:val="none" w:sz="0" w:space="0" w:color="auto"/>
            <w:left w:val="none" w:sz="0" w:space="0" w:color="auto"/>
            <w:bottom w:val="none" w:sz="0" w:space="0" w:color="auto"/>
            <w:right w:val="none" w:sz="0" w:space="0" w:color="auto"/>
          </w:divBdr>
        </w:div>
        <w:div w:id="1211696500">
          <w:marLeft w:val="0"/>
          <w:marRight w:val="0"/>
          <w:marTop w:val="0"/>
          <w:marBottom w:val="0"/>
          <w:divBdr>
            <w:top w:val="none" w:sz="0" w:space="0" w:color="auto"/>
            <w:left w:val="none" w:sz="0" w:space="0" w:color="auto"/>
            <w:bottom w:val="none" w:sz="0" w:space="0" w:color="auto"/>
            <w:right w:val="none" w:sz="0" w:space="0" w:color="auto"/>
          </w:divBdr>
        </w:div>
        <w:div w:id="1291671150">
          <w:marLeft w:val="0"/>
          <w:marRight w:val="0"/>
          <w:marTop w:val="0"/>
          <w:marBottom w:val="0"/>
          <w:divBdr>
            <w:top w:val="none" w:sz="0" w:space="0" w:color="auto"/>
            <w:left w:val="none" w:sz="0" w:space="0" w:color="auto"/>
            <w:bottom w:val="none" w:sz="0" w:space="0" w:color="auto"/>
            <w:right w:val="none" w:sz="0" w:space="0" w:color="auto"/>
          </w:divBdr>
        </w:div>
        <w:div w:id="1313291017">
          <w:marLeft w:val="0"/>
          <w:marRight w:val="0"/>
          <w:marTop w:val="0"/>
          <w:marBottom w:val="0"/>
          <w:divBdr>
            <w:top w:val="none" w:sz="0" w:space="0" w:color="auto"/>
            <w:left w:val="none" w:sz="0" w:space="0" w:color="auto"/>
            <w:bottom w:val="none" w:sz="0" w:space="0" w:color="auto"/>
            <w:right w:val="none" w:sz="0" w:space="0" w:color="auto"/>
          </w:divBdr>
        </w:div>
        <w:div w:id="1315450875">
          <w:marLeft w:val="0"/>
          <w:marRight w:val="0"/>
          <w:marTop w:val="0"/>
          <w:marBottom w:val="0"/>
          <w:divBdr>
            <w:top w:val="none" w:sz="0" w:space="0" w:color="auto"/>
            <w:left w:val="none" w:sz="0" w:space="0" w:color="auto"/>
            <w:bottom w:val="none" w:sz="0" w:space="0" w:color="auto"/>
            <w:right w:val="none" w:sz="0" w:space="0" w:color="auto"/>
          </w:divBdr>
        </w:div>
        <w:div w:id="1326007520">
          <w:marLeft w:val="0"/>
          <w:marRight w:val="0"/>
          <w:marTop w:val="0"/>
          <w:marBottom w:val="0"/>
          <w:divBdr>
            <w:top w:val="none" w:sz="0" w:space="0" w:color="auto"/>
            <w:left w:val="none" w:sz="0" w:space="0" w:color="auto"/>
            <w:bottom w:val="none" w:sz="0" w:space="0" w:color="auto"/>
            <w:right w:val="none" w:sz="0" w:space="0" w:color="auto"/>
          </w:divBdr>
        </w:div>
        <w:div w:id="1337881647">
          <w:marLeft w:val="0"/>
          <w:marRight w:val="0"/>
          <w:marTop w:val="0"/>
          <w:marBottom w:val="0"/>
          <w:divBdr>
            <w:top w:val="none" w:sz="0" w:space="0" w:color="auto"/>
            <w:left w:val="none" w:sz="0" w:space="0" w:color="auto"/>
            <w:bottom w:val="none" w:sz="0" w:space="0" w:color="auto"/>
            <w:right w:val="none" w:sz="0" w:space="0" w:color="auto"/>
          </w:divBdr>
        </w:div>
        <w:div w:id="1378705293">
          <w:marLeft w:val="0"/>
          <w:marRight w:val="0"/>
          <w:marTop w:val="0"/>
          <w:marBottom w:val="0"/>
          <w:divBdr>
            <w:top w:val="none" w:sz="0" w:space="0" w:color="auto"/>
            <w:left w:val="none" w:sz="0" w:space="0" w:color="auto"/>
            <w:bottom w:val="none" w:sz="0" w:space="0" w:color="auto"/>
            <w:right w:val="none" w:sz="0" w:space="0" w:color="auto"/>
          </w:divBdr>
        </w:div>
        <w:div w:id="1384013778">
          <w:marLeft w:val="0"/>
          <w:marRight w:val="0"/>
          <w:marTop w:val="0"/>
          <w:marBottom w:val="0"/>
          <w:divBdr>
            <w:top w:val="none" w:sz="0" w:space="0" w:color="auto"/>
            <w:left w:val="none" w:sz="0" w:space="0" w:color="auto"/>
            <w:bottom w:val="none" w:sz="0" w:space="0" w:color="auto"/>
            <w:right w:val="none" w:sz="0" w:space="0" w:color="auto"/>
          </w:divBdr>
        </w:div>
        <w:div w:id="1453397646">
          <w:marLeft w:val="0"/>
          <w:marRight w:val="0"/>
          <w:marTop w:val="0"/>
          <w:marBottom w:val="0"/>
          <w:divBdr>
            <w:top w:val="none" w:sz="0" w:space="0" w:color="auto"/>
            <w:left w:val="none" w:sz="0" w:space="0" w:color="auto"/>
            <w:bottom w:val="none" w:sz="0" w:space="0" w:color="auto"/>
            <w:right w:val="none" w:sz="0" w:space="0" w:color="auto"/>
          </w:divBdr>
        </w:div>
        <w:div w:id="1455172269">
          <w:marLeft w:val="0"/>
          <w:marRight w:val="0"/>
          <w:marTop w:val="0"/>
          <w:marBottom w:val="0"/>
          <w:divBdr>
            <w:top w:val="none" w:sz="0" w:space="0" w:color="auto"/>
            <w:left w:val="none" w:sz="0" w:space="0" w:color="auto"/>
            <w:bottom w:val="none" w:sz="0" w:space="0" w:color="auto"/>
            <w:right w:val="none" w:sz="0" w:space="0" w:color="auto"/>
          </w:divBdr>
        </w:div>
        <w:div w:id="1632396369">
          <w:marLeft w:val="0"/>
          <w:marRight w:val="0"/>
          <w:marTop w:val="0"/>
          <w:marBottom w:val="0"/>
          <w:divBdr>
            <w:top w:val="none" w:sz="0" w:space="0" w:color="auto"/>
            <w:left w:val="none" w:sz="0" w:space="0" w:color="auto"/>
            <w:bottom w:val="none" w:sz="0" w:space="0" w:color="auto"/>
            <w:right w:val="none" w:sz="0" w:space="0" w:color="auto"/>
          </w:divBdr>
        </w:div>
        <w:div w:id="1632520083">
          <w:marLeft w:val="0"/>
          <w:marRight w:val="0"/>
          <w:marTop w:val="0"/>
          <w:marBottom w:val="0"/>
          <w:divBdr>
            <w:top w:val="none" w:sz="0" w:space="0" w:color="auto"/>
            <w:left w:val="none" w:sz="0" w:space="0" w:color="auto"/>
            <w:bottom w:val="none" w:sz="0" w:space="0" w:color="auto"/>
            <w:right w:val="none" w:sz="0" w:space="0" w:color="auto"/>
          </w:divBdr>
        </w:div>
        <w:div w:id="1672491505">
          <w:marLeft w:val="0"/>
          <w:marRight w:val="0"/>
          <w:marTop w:val="0"/>
          <w:marBottom w:val="0"/>
          <w:divBdr>
            <w:top w:val="none" w:sz="0" w:space="0" w:color="auto"/>
            <w:left w:val="none" w:sz="0" w:space="0" w:color="auto"/>
            <w:bottom w:val="none" w:sz="0" w:space="0" w:color="auto"/>
            <w:right w:val="none" w:sz="0" w:space="0" w:color="auto"/>
          </w:divBdr>
        </w:div>
        <w:div w:id="1727605856">
          <w:marLeft w:val="0"/>
          <w:marRight w:val="0"/>
          <w:marTop w:val="0"/>
          <w:marBottom w:val="0"/>
          <w:divBdr>
            <w:top w:val="none" w:sz="0" w:space="0" w:color="auto"/>
            <w:left w:val="none" w:sz="0" w:space="0" w:color="auto"/>
            <w:bottom w:val="none" w:sz="0" w:space="0" w:color="auto"/>
            <w:right w:val="none" w:sz="0" w:space="0" w:color="auto"/>
          </w:divBdr>
        </w:div>
        <w:div w:id="1752316761">
          <w:marLeft w:val="0"/>
          <w:marRight w:val="0"/>
          <w:marTop w:val="0"/>
          <w:marBottom w:val="0"/>
          <w:divBdr>
            <w:top w:val="none" w:sz="0" w:space="0" w:color="auto"/>
            <w:left w:val="none" w:sz="0" w:space="0" w:color="auto"/>
            <w:bottom w:val="none" w:sz="0" w:space="0" w:color="auto"/>
            <w:right w:val="none" w:sz="0" w:space="0" w:color="auto"/>
          </w:divBdr>
        </w:div>
        <w:div w:id="1762096795">
          <w:marLeft w:val="0"/>
          <w:marRight w:val="0"/>
          <w:marTop w:val="0"/>
          <w:marBottom w:val="0"/>
          <w:divBdr>
            <w:top w:val="none" w:sz="0" w:space="0" w:color="auto"/>
            <w:left w:val="none" w:sz="0" w:space="0" w:color="auto"/>
            <w:bottom w:val="none" w:sz="0" w:space="0" w:color="auto"/>
            <w:right w:val="none" w:sz="0" w:space="0" w:color="auto"/>
          </w:divBdr>
        </w:div>
        <w:div w:id="1769227530">
          <w:marLeft w:val="0"/>
          <w:marRight w:val="0"/>
          <w:marTop w:val="0"/>
          <w:marBottom w:val="0"/>
          <w:divBdr>
            <w:top w:val="none" w:sz="0" w:space="0" w:color="auto"/>
            <w:left w:val="none" w:sz="0" w:space="0" w:color="auto"/>
            <w:bottom w:val="none" w:sz="0" w:space="0" w:color="auto"/>
            <w:right w:val="none" w:sz="0" w:space="0" w:color="auto"/>
          </w:divBdr>
        </w:div>
        <w:div w:id="1793094239">
          <w:marLeft w:val="0"/>
          <w:marRight w:val="0"/>
          <w:marTop w:val="0"/>
          <w:marBottom w:val="0"/>
          <w:divBdr>
            <w:top w:val="none" w:sz="0" w:space="0" w:color="auto"/>
            <w:left w:val="none" w:sz="0" w:space="0" w:color="auto"/>
            <w:bottom w:val="none" w:sz="0" w:space="0" w:color="auto"/>
            <w:right w:val="none" w:sz="0" w:space="0" w:color="auto"/>
          </w:divBdr>
        </w:div>
        <w:div w:id="1801800914">
          <w:marLeft w:val="0"/>
          <w:marRight w:val="0"/>
          <w:marTop w:val="0"/>
          <w:marBottom w:val="0"/>
          <w:divBdr>
            <w:top w:val="none" w:sz="0" w:space="0" w:color="auto"/>
            <w:left w:val="none" w:sz="0" w:space="0" w:color="auto"/>
            <w:bottom w:val="none" w:sz="0" w:space="0" w:color="auto"/>
            <w:right w:val="none" w:sz="0" w:space="0" w:color="auto"/>
          </w:divBdr>
        </w:div>
        <w:div w:id="1803189194">
          <w:marLeft w:val="0"/>
          <w:marRight w:val="0"/>
          <w:marTop w:val="0"/>
          <w:marBottom w:val="0"/>
          <w:divBdr>
            <w:top w:val="none" w:sz="0" w:space="0" w:color="auto"/>
            <w:left w:val="none" w:sz="0" w:space="0" w:color="auto"/>
            <w:bottom w:val="none" w:sz="0" w:space="0" w:color="auto"/>
            <w:right w:val="none" w:sz="0" w:space="0" w:color="auto"/>
          </w:divBdr>
        </w:div>
        <w:div w:id="1841776015">
          <w:marLeft w:val="0"/>
          <w:marRight w:val="0"/>
          <w:marTop w:val="0"/>
          <w:marBottom w:val="0"/>
          <w:divBdr>
            <w:top w:val="none" w:sz="0" w:space="0" w:color="auto"/>
            <w:left w:val="none" w:sz="0" w:space="0" w:color="auto"/>
            <w:bottom w:val="none" w:sz="0" w:space="0" w:color="auto"/>
            <w:right w:val="none" w:sz="0" w:space="0" w:color="auto"/>
          </w:divBdr>
        </w:div>
        <w:div w:id="1898858298">
          <w:marLeft w:val="0"/>
          <w:marRight w:val="0"/>
          <w:marTop w:val="0"/>
          <w:marBottom w:val="0"/>
          <w:divBdr>
            <w:top w:val="none" w:sz="0" w:space="0" w:color="auto"/>
            <w:left w:val="none" w:sz="0" w:space="0" w:color="auto"/>
            <w:bottom w:val="none" w:sz="0" w:space="0" w:color="auto"/>
            <w:right w:val="none" w:sz="0" w:space="0" w:color="auto"/>
          </w:divBdr>
        </w:div>
        <w:div w:id="1950156519">
          <w:marLeft w:val="0"/>
          <w:marRight w:val="0"/>
          <w:marTop w:val="0"/>
          <w:marBottom w:val="0"/>
          <w:divBdr>
            <w:top w:val="none" w:sz="0" w:space="0" w:color="auto"/>
            <w:left w:val="none" w:sz="0" w:space="0" w:color="auto"/>
            <w:bottom w:val="none" w:sz="0" w:space="0" w:color="auto"/>
            <w:right w:val="none" w:sz="0" w:space="0" w:color="auto"/>
          </w:divBdr>
        </w:div>
        <w:div w:id="1955479684">
          <w:marLeft w:val="0"/>
          <w:marRight w:val="0"/>
          <w:marTop w:val="0"/>
          <w:marBottom w:val="0"/>
          <w:divBdr>
            <w:top w:val="none" w:sz="0" w:space="0" w:color="auto"/>
            <w:left w:val="none" w:sz="0" w:space="0" w:color="auto"/>
            <w:bottom w:val="none" w:sz="0" w:space="0" w:color="auto"/>
            <w:right w:val="none" w:sz="0" w:space="0" w:color="auto"/>
          </w:divBdr>
        </w:div>
        <w:div w:id="2038119863">
          <w:marLeft w:val="0"/>
          <w:marRight w:val="0"/>
          <w:marTop w:val="0"/>
          <w:marBottom w:val="0"/>
          <w:divBdr>
            <w:top w:val="none" w:sz="0" w:space="0" w:color="auto"/>
            <w:left w:val="none" w:sz="0" w:space="0" w:color="auto"/>
            <w:bottom w:val="none" w:sz="0" w:space="0" w:color="auto"/>
            <w:right w:val="none" w:sz="0" w:space="0" w:color="auto"/>
          </w:divBdr>
        </w:div>
        <w:div w:id="2065133721">
          <w:marLeft w:val="0"/>
          <w:marRight w:val="0"/>
          <w:marTop w:val="0"/>
          <w:marBottom w:val="0"/>
          <w:divBdr>
            <w:top w:val="none" w:sz="0" w:space="0" w:color="auto"/>
            <w:left w:val="none" w:sz="0" w:space="0" w:color="auto"/>
            <w:bottom w:val="none" w:sz="0" w:space="0" w:color="auto"/>
            <w:right w:val="none" w:sz="0" w:space="0" w:color="auto"/>
          </w:divBdr>
        </w:div>
        <w:div w:id="2146004862">
          <w:marLeft w:val="0"/>
          <w:marRight w:val="0"/>
          <w:marTop w:val="0"/>
          <w:marBottom w:val="0"/>
          <w:divBdr>
            <w:top w:val="none" w:sz="0" w:space="0" w:color="auto"/>
            <w:left w:val="none" w:sz="0" w:space="0" w:color="auto"/>
            <w:bottom w:val="none" w:sz="0" w:space="0" w:color="auto"/>
            <w:right w:val="none" w:sz="0" w:space="0" w:color="auto"/>
          </w:divBdr>
        </w:div>
      </w:divsChild>
    </w:div>
    <w:div w:id="1377121168">
      <w:bodyDiv w:val="1"/>
      <w:marLeft w:val="0"/>
      <w:marRight w:val="0"/>
      <w:marTop w:val="0"/>
      <w:marBottom w:val="0"/>
      <w:divBdr>
        <w:top w:val="none" w:sz="0" w:space="0" w:color="auto"/>
        <w:left w:val="none" w:sz="0" w:space="0" w:color="auto"/>
        <w:bottom w:val="none" w:sz="0" w:space="0" w:color="auto"/>
        <w:right w:val="none" w:sz="0" w:space="0" w:color="auto"/>
      </w:divBdr>
    </w:div>
    <w:div w:id="1377586165">
      <w:bodyDiv w:val="1"/>
      <w:marLeft w:val="0"/>
      <w:marRight w:val="0"/>
      <w:marTop w:val="0"/>
      <w:marBottom w:val="0"/>
      <w:divBdr>
        <w:top w:val="none" w:sz="0" w:space="0" w:color="auto"/>
        <w:left w:val="none" w:sz="0" w:space="0" w:color="auto"/>
        <w:bottom w:val="none" w:sz="0" w:space="0" w:color="auto"/>
        <w:right w:val="none" w:sz="0" w:space="0" w:color="auto"/>
      </w:divBdr>
      <w:divsChild>
        <w:div w:id="165705840">
          <w:marLeft w:val="0"/>
          <w:marRight w:val="0"/>
          <w:marTop w:val="0"/>
          <w:marBottom w:val="0"/>
          <w:divBdr>
            <w:top w:val="none" w:sz="0" w:space="0" w:color="auto"/>
            <w:left w:val="none" w:sz="0" w:space="0" w:color="auto"/>
            <w:bottom w:val="none" w:sz="0" w:space="0" w:color="auto"/>
            <w:right w:val="none" w:sz="0" w:space="0" w:color="auto"/>
          </w:divBdr>
        </w:div>
        <w:div w:id="205220273">
          <w:marLeft w:val="0"/>
          <w:marRight w:val="0"/>
          <w:marTop w:val="0"/>
          <w:marBottom w:val="0"/>
          <w:divBdr>
            <w:top w:val="none" w:sz="0" w:space="0" w:color="auto"/>
            <w:left w:val="none" w:sz="0" w:space="0" w:color="auto"/>
            <w:bottom w:val="none" w:sz="0" w:space="0" w:color="auto"/>
            <w:right w:val="none" w:sz="0" w:space="0" w:color="auto"/>
          </w:divBdr>
        </w:div>
        <w:div w:id="1091198911">
          <w:marLeft w:val="0"/>
          <w:marRight w:val="0"/>
          <w:marTop w:val="0"/>
          <w:marBottom w:val="0"/>
          <w:divBdr>
            <w:top w:val="none" w:sz="0" w:space="0" w:color="auto"/>
            <w:left w:val="none" w:sz="0" w:space="0" w:color="auto"/>
            <w:bottom w:val="none" w:sz="0" w:space="0" w:color="auto"/>
            <w:right w:val="none" w:sz="0" w:space="0" w:color="auto"/>
          </w:divBdr>
        </w:div>
        <w:div w:id="1209803325">
          <w:marLeft w:val="0"/>
          <w:marRight w:val="0"/>
          <w:marTop w:val="0"/>
          <w:marBottom w:val="0"/>
          <w:divBdr>
            <w:top w:val="none" w:sz="0" w:space="0" w:color="auto"/>
            <w:left w:val="none" w:sz="0" w:space="0" w:color="auto"/>
            <w:bottom w:val="none" w:sz="0" w:space="0" w:color="auto"/>
            <w:right w:val="none" w:sz="0" w:space="0" w:color="auto"/>
          </w:divBdr>
        </w:div>
      </w:divsChild>
    </w:div>
    <w:div w:id="1377659294">
      <w:bodyDiv w:val="1"/>
      <w:marLeft w:val="0"/>
      <w:marRight w:val="0"/>
      <w:marTop w:val="0"/>
      <w:marBottom w:val="0"/>
      <w:divBdr>
        <w:top w:val="none" w:sz="0" w:space="0" w:color="auto"/>
        <w:left w:val="none" w:sz="0" w:space="0" w:color="auto"/>
        <w:bottom w:val="none" w:sz="0" w:space="0" w:color="auto"/>
        <w:right w:val="none" w:sz="0" w:space="0" w:color="auto"/>
      </w:divBdr>
    </w:div>
    <w:div w:id="1397820450">
      <w:bodyDiv w:val="1"/>
      <w:marLeft w:val="0"/>
      <w:marRight w:val="0"/>
      <w:marTop w:val="0"/>
      <w:marBottom w:val="0"/>
      <w:divBdr>
        <w:top w:val="none" w:sz="0" w:space="0" w:color="auto"/>
        <w:left w:val="none" w:sz="0" w:space="0" w:color="auto"/>
        <w:bottom w:val="none" w:sz="0" w:space="0" w:color="auto"/>
        <w:right w:val="none" w:sz="0" w:space="0" w:color="auto"/>
      </w:divBdr>
      <w:divsChild>
        <w:div w:id="220749525">
          <w:marLeft w:val="0"/>
          <w:marRight w:val="0"/>
          <w:marTop w:val="0"/>
          <w:marBottom w:val="0"/>
          <w:divBdr>
            <w:top w:val="none" w:sz="0" w:space="0" w:color="auto"/>
            <w:left w:val="none" w:sz="0" w:space="0" w:color="auto"/>
            <w:bottom w:val="none" w:sz="0" w:space="0" w:color="auto"/>
            <w:right w:val="none" w:sz="0" w:space="0" w:color="auto"/>
          </w:divBdr>
        </w:div>
        <w:div w:id="542136607">
          <w:marLeft w:val="0"/>
          <w:marRight w:val="0"/>
          <w:marTop w:val="0"/>
          <w:marBottom w:val="0"/>
          <w:divBdr>
            <w:top w:val="none" w:sz="0" w:space="0" w:color="auto"/>
            <w:left w:val="none" w:sz="0" w:space="0" w:color="auto"/>
            <w:bottom w:val="none" w:sz="0" w:space="0" w:color="auto"/>
            <w:right w:val="none" w:sz="0" w:space="0" w:color="auto"/>
          </w:divBdr>
        </w:div>
        <w:div w:id="889997194">
          <w:marLeft w:val="0"/>
          <w:marRight w:val="0"/>
          <w:marTop w:val="0"/>
          <w:marBottom w:val="0"/>
          <w:divBdr>
            <w:top w:val="none" w:sz="0" w:space="0" w:color="auto"/>
            <w:left w:val="none" w:sz="0" w:space="0" w:color="auto"/>
            <w:bottom w:val="none" w:sz="0" w:space="0" w:color="auto"/>
            <w:right w:val="none" w:sz="0" w:space="0" w:color="auto"/>
          </w:divBdr>
        </w:div>
        <w:div w:id="1108962740">
          <w:marLeft w:val="0"/>
          <w:marRight w:val="0"/>
          <w:marTop w:val="0"/>
          <w:marBottom w:val="0"/>
          <w:divBdr>
            <w:top w:val="none" w:sz="0" w:space="0" w:color="auto"/>
            <w:left w:val="none" w:sz="0" w:space="0" w:color="auto"/>
            <w:bottom w:val="none" w:sz="0" w:space="0" w:color="auto"/>
            <w:right w:val="none" w:sz="0" w:space="0" w:color="auto"/>
          </w:divBdr>
        </w:div>
        <w:div w:id="1239443902">
          <w:marLeft w:val="0"/>
          <w:marRight w:val="0"/>
          <w:marTop w:val="0"/>
          <w:marBottom w:val="0"/>
          <w:divBdr>
            <w:top w:val="none" w:sz="0" w:space="0" w:color="auto"/>
            <w:left w:val="none" w:sz="0" w:space="0" w:color="auto"/>
            <w:bottom w:val="none" w:sz="0" w:space="0" w:color="auto"/>
            <w:right w:val="none" w:sz="0" w:space="0" w:color="auto"/>
          </w:divBdr>
        </w:div>
      </w:divsChild>
    </w:div>
    <w:div w:id="1418093194">
      <w:bodyDiv w:val="1"/>
      <w:marLeft w:val="0"/>
      <w:marRight w:val="0"/>
      <w:marTop w:val="0"/>
      <w:marBottom w:val="0"/>
      <w:divBdr>
        <w:top w:val="none" w:sz="0" w:space="0" w:color="auto"/>
        <w:left w:val="none" w:sz="0" w:space="0" w:color="auto"/>
        <w:bottom w:val="none" w:sz="0" w:space="0" w:color="auto"/>
        <w:right w:val="none" w:sz="0" w:space="0" w:color="auto"/>
      </w:divBdr>
      <w:divsChild>
        <w:div w:id="185674227">
          <w:marLeft w:val="0"/>
          <w:marRight w:val="0"/>
          <w:marTop w:val="0"/>
          <w:marBottom w:val="0"/>
          <w:divBdr>
            <w:top w:val="none" w:sz="0" w:space="0" w:color="auto"/>
            <w:left w:val="none" w:sz="0" w:space="0" w:color="auto"/>
            <w:bottom w:val="none" w:sz="0" w:space="0" w:color="auto"/>
            <w:right w:val="none" w:sz="0" w:space="0" w:color="auto"/>
          </w:divBdr>
        </w:div>
        <w:div w:id="607158084">
          <w:marLeft w:val="0"/>
          <w:marRight w:val="0"/>
          <w:marTop w:val="0"/>
          <w:marBottom w:val="0"/>
          <w:divBdr>
            <w:top w:val="none" w:sz="0" w:space="0" w:color="auto"/>
            <w:left w:val="none" w:sz="0" w:space="0" w:color="auto"/>
            <w:bottom w:val="none" w:sz="0" w:space="0" w:color="auto"/>
            <w:right w:val="none" w:sz="0" w:space="0" w:color="auto"/>
          </w:divBdr>
        </w:div>
        <w:div w:id="1900823157">
          <w:marLeft w:val="0"/>
          <w:marRight w:val="0"/>
          <w:marTop w:val="0"/>
          <w:marBottom w:val="0"/>
          <w:divBdr>
            <w:top w:val="none" w:sz="0" w:space="0" w:color="auto"/>
            <w:left w:val="none" w:sz="0" w:space="0" w:color="auto"/>
            <w:bottom w:val="none" w:sz="0" w:space="0" w:color="auto"/>
            <w:right w:val="none" w:sz="0" w:space="0" w:color="auto"/>
          </w:divBdr>
        </w:div>
      </w:divsChild>
    </w:div>
    <w:div w:id="1418743178">
      <w:bodyDiv w:val="1"/>
      <w:marLeft w:val="0"/>
      <w:marRight w:val="0"/>
      <w:marTop w:val="0"/>
      <w:marBottom w:val="0"/>
      <w:divBdr>
        <w:top w:val="none" w:sz="0" w:space="0" w:color="auto"/>
        <w:left w:val="none" w:sz="0" w:space="0" w:color="auto"/>
        <w:bottom w:val="none" w:sz="0" w:space="0" w:color="auto"/>
        <w:right w:val="none" w:sz="0" w:space="0" w:color="auto"/>
      </w:divBdr>
      <w:divsChild>
        <w:div w:id="163404767">
          <w:marLeft w:val="0"/>
          <w:marRight w:val="0"/>
          <w:marTop w:val="0"/>
          <w:marBottom w:val="0"/>
          <w:divBdr>
            <w:top w:val="none" w:sz="0" w:space="0" w:color="auto"/>
            <w:left w:val="none" w:sz="0" w:space="0" w:color="auto"/>
            <w:bottom w:val="none" w:sz="0" w:space="0" w:color="auto"/>
            <w:right w:val="none" w:sz="0" w:space="0" w:color="auto"/>
          </w:divBdr>
        </w:div>
        <w:div w:id="233205635">
          <w:marLeft w:val="0"/>
          <w:marRight w:val="0"/>
          <w:marTop w:val="0"/>
          <w:marBottom w:val="0"/>
          <w:divBdr>
            <w:top w:val="none" w:sz="0" w:space="0" w:color="auto"/>
            <w:left w:val="none" w:sz="0" w:space="0" w:color="auto"/>
            <w:bottom w:val="none" w:sz="0" w:space="0" w:color="auto"/>
            <w:right w:val="none" w:sz="0" w:space="0" w:color="auto"/>
          </w:divBdr>
        </w:div>
        <w:div w:id="275991036">
          <w:marLeft w:val="0"/>
          <w:marRight w:val="0"/>
          <w:marTop w:val="0"/>
          <w:marBottom w:val="0"/>
          <w:divBdr>
            <w:top w:val="none" w:sz="0" w:space="0" w:color="auto"/>
            <w:left w:val="none" w:sz="0" w:space="0" w:color="auto"/>
            <w:bottom w:val="none" w:sz="0" w:space="0" w:color="auto"/>
            <w:right w:val="none" w:sz="0" w:space="0" w:color="auto"/>
          </w:divBdr>
        </w:div>
        <w:div w:id="316766837">
          <w:marLeft w:val="0"/>
          <w:marRight w:val="0"/>
          <w:marTop w:val="0"/>
          <w:marBottom w:val="0"/>
          <w:divBdr>
            <w:top w:val="none" w:sz="0" w:space="0" w:color="auto"/>
            <w:left w:val="none" w:sz="0" w:space="0" w:color="auto"/>
            <w:bottom w:val="none" w:sz="0" w:space="0" w:color="auto"/>
            <w:right w:val="none" w:sz="0" w:space="0" w:color="auto"/>
          </w:divBdr>
        </w:div>
        <w:div w:id="321280678">
          <w:marLeft w:val="0"/>
          <w:marRight w:val="0"/>
          <w:marTop w:val="0"/>
          <w:marBottom w:val="0"/>
          <w:divBdr>
            <w:top w:val="none" w:sz="0" w:space="0" w:color="auto"/>
            <w:left w:val="none" w:sz="0" w:space="0" w:color="auto"/>
            <w:bottom w:val="none" w:sz="0" w:space="0" w:color="auto"/>
            <w:right w:val="none" w:sz="0" w:space="0" w:color="auto"/>
          </w:divBdr>
        </w:div>
        <w:div w:id="324167088">
          <w:marLeft w:val="0"/>
          <w:marRight w:val="0"/>
          <w:marTop w:val="0"/>
          <w:marBottom w:val="0"/>
          <w:divBdr>
            <w:top w:val="none" w:sz="0" w:space="0" w:color="auto"/>
            <w:left w:val="none" w:sz="0" w:space="0" w:color="auto"/>
            <w:bottom w:val="none" w:sz="0" w:space="0" w:color="auto"/>
            <w:right w:val="none" w:sz="0" w:space="0" w:color="auto"/>
          </w:divBdr>
        </w:div>
        <w:div w:id="330449396">
          <w:marLeft w:val="0"/>
          <w:marRight w:val="0"/>
          <w:marTop w:val="0"/>
          <w:marBottom w:val="0"/>
          <w:divBdr>
            <w:top w:val="none" w:sz="0" w:space="0" w:color="auto"/>
            <w:left w:val="none" w:sz="0" w:space="0" w:color="auto"/>
            <w:bottom w:val="none" w:sz="0" w:space="0" w:color="auto"/>
            <w:right w:val="none" w:sz="0" w:space="0" w:color="auto"/>
          </w:divBdr>
        </w:div>
        <w:div w:id="420567550">
          <w:marLeft w:val="0"/>
          <w:marRight w:val="0"/>
          <w:marTop w:val="0"/>
          <w:marBottom w:val="0"/>
          <w:divBdr>
            <w:top w:val="none" w:sz="0" w:space="0" w:color="auto"/>
            <w:left w:val="none" w:sz="0" w:space="0" w:color="auto"/>
            <w:bottom w:val="none" w:sz="0" w:space="0" w:color="auto"/>
            <w:right w:val="none" w:sz="0" w:space="0" w:color="auto"/>
          </w:divBdr>
        </w:div>
        <w:div w:id="468129072">
          <w:marLeft w:val="0"/>
          <w:marRight w:val="0"/>
          <w:marTop w:val="0"/>
          <w:marBottom w:val="0"/>
          <w:divBdr>
            <w:top w:val="none" w:sz="0" w:space="0" w:color="auto"/>
            <w:left w:val="none" w:sz="0" w:space="0" w:color="auto"/>
            <w:bottom w:val="none" w:sz="0" w:space="0" w:color="auto"/>
            <w:right w:val="none" w:sz="0" w:space="0" w:color="auto"/>
          </w:divBdr>
        </w:div>
        <w:div w:id="490759171">
          <w:marLeft w:val="0"/>
          <w:marRight w:val="0"/>
          <w:marTop w:val="0"/>
          <w:marBottom w:val="0"/>
          <w:divBdr>
            <w:top w:val="none" w:sz="0" w:space="0" w:color="auto"/>
            <w:left w:val="none" w:sz="0" w:space="0" w:color="auto"/>
            <w:bottom w:val="none" w:sz="0" w:space="0" w:color="auto"/>
            <w:right w:val="none" w:sz="0" w:space="0" w:color="auto"/>
          </w:divBdr>
        </w:div>
        <w:div w:id="497382146">
          <w:marLeft w:val="0"/>
          <w:marRight w:val="0"/>
          <w:marTop w:val="0"/>
          <w:marBottom w:val="0"/>
          <w:divBdr>
            <w:top w:val="none" w:sz="0" w:space="0" w:color="auto"/>
            <w:left w:val="none" w:sz="0" w:space="0" w:color="auto"/>
            <w:bottom w:val="none" w:sz="0" w:space="0" w:color="auto"/>
            <w:right w:val="none" w:sz="0" w:space="0" w:color="auto"/>
          </w:divBdr>
        </w:div>
        <w:div w:id="551498467">
          <w:marLeft w:val="0"/>
          <w:marRight w:val="0"/>
          <w:marTop w:val="0"/>
          <w:marBottom w:val="0"/>
          <w:divBdr>
            <w:top w:val="none" w:sz="0" w:space="0" w:color="auto"/>
            <w:left w:val="none" w:sz="0" w:space="0" w:color="auto"/>
            <w:bottom w:val="none" w:sz="0" w:space="0" w:color="auto"/>
            <w:right w:val="none" w:sz="0" w:space="0" w:color="auto"/>
          </w:divBdr>
        </w:div>
        <w:div w:id="567804619">
          <w:marLeft w:val="0"/>
          <w:marRight w:val="0"/>
          <w:marTop w:val="0"/>
          <w:marBottom w:val="0"/>
          <w:divBdr>
            <w:top w:val="none" w:sz="0" w:space="0" w:color="auto"/>
            <w:left w:val="none" w:sz="0" w:space="0" w:color="auto"/>
            <w:bottom w:val="none" w:sz="0" w:space="0" w:color="auto"/>
            <w:right w:val="none" w:sz="0" w:space="0" w:color="auto"/>
          </w:divBdr>
        </w:div>
        <w:div w:id="583035475">
          <w:marLeft w:val="0"/>
          <w:marRight w:val="0"/>
          <w:marTop w:val="0"/>
          <w:marBottom w:val="0"/>
          <w:divBdr>
            <w:top w:val="none" w:sz="0" w:space="0" w:color="auto"/>
            <w:left w:val="none" w:sz="0" w:space="0" w:color="auto"/>
            <w:bottom w:val="none" w:sz="0" w:space="0" w:color="auto"/>
            <w:right w:val="none" w:sz="0" w:space="0" w:color="auto"/>
          </w:divBdr>
        </w:div>
        <w:div w:id="728963224">
          <w:marLeft w:val="0"/>
          <w:marRight w:val="0"/>
          <w:marTop w:val="0"/>
          <w:marBottom w:val="0"/>
          <w:divBdr>
            <w:top w:val="none" w:sz="0" w:space="0" w:color="auto"/>
            <w:left w:val="none" w:sz="0" w:space="0" w:color="auto"/>
            <w:bottom w:val="none" w:sz="0" w:space="0" w:color="auto"/>
            <w:right w:val="none" w:sz="0" w:space="0" w:color="auto"/>
          </w:divBdr>
        </w:div>
        <w:div w:id="787234944">
          <w:marLeft w:val="0"/>
          <w:marRight w:val="0"/>
          <w:marTop w:val="0"/>
          <w:marBottom w:val="0"/>
          <w:divBdr>
            <w:top w:val="none" w:sz="0" w:space="0" w:color="auto"/>
            <w:left w:val="none" w:sz="0" w:space="0" w:color="auto"/>
            <w:bottom w:val="none" w:sz="0" w:space="0" w:color="auto"/>
            <w:right w:val="none" w:sz="0" w:space="0" w:color="auto"/>
          </w:divBdr>
        </w:div>
        <w:div w:id="805977822">
          <w:marLeft w:val="0"/>
          <w:marRight w:val="0"/>
          <w:marTop w:val="0"/>
          <w:marBottom w:val="0"/>
          <w:divBdr>
            <w:top w:val="none" w:sz="0" w:space="0" w:color="auto"/>
            <w:left w:val="none" w:sz="0" w:space="0" w:color="auto"/>
            <w:bottom w:val="none" w:sz="0" w:space="0" w:color="auto"/>
            <w:right w:val="none" w:sz="0" w:space="0" w:color="auto"/>
          </w:divBdr>
        </w:div>
        <w:div w:id="810026679">
          <w:marLeft w:val="0"/>
          <w:marRight w:val="0"/>
          <w:marTop w:val="0"/>
          <w:marBottom w:val="0"/>
          <w:divBdr>
            <w:top w:val="none" w:sz="0" w:space="0" w:color="auto"/>
            <w:left w:val="none" w:sz="0" w:space="0" w:color="auto"/>
            <w:bottom w:val="none" w:sz="0" w:space="0" w:color="auto"/>
            <w:right w:val="none" w:sz="0" w:space="0" w:color="auto"/>
          </w:divBdr>
        </w:div>
        <w:div w:id="814764446">
          <w:marLeft w:val="0"/>
          <w:marRight w:val="0"/>
          <w:marTop w:val="0"/>
          <w:marBottom w:val="0"/>
          <w:divBdr>
            <w:top w:val="none" w:sz="0" w:space="0" w:color="auto"/>
            <w:left w:val="none" w:sz="0" w:space="0" w:color="auto"/>
            <w:bottom w:val="none" w:sz="0" w:space="0" w:color="auto"/>
            <w:right w:val="none" w:sz="0" w:space="0" w:color="auto"/>
          </w:divBdr>
        </w:div>
        <w:div w:id="859129771">
          <w:marLeft w:val="0"/>
          <w:marRight w:val="0"/>
          <w:marTop w:val="0"/>
          <w:marBottom w:val="0"/>
          <w:divBdr>
            <w:top w:val="none" w:sz="0" w:space="0" w:color="auto"/>
            <w:left w:val="none" w:sz="0" w:space="0" w:color="auto"/>
            <w:bottom w:val="none" w:sz="0" w:space="0" w:color="auto"/>
            <w:right w:val="none" w:sz="0" w:space="0" w:color="auto"/>
          </w:divBdr>
        </w:div>
        <w:div w:id="889879750">
          <w:marLeft w:val="0"/>
          <w:marRight w:val="0"/>
          <w:marTop w:val="0"/>
          <w:marBottom w:val="0"/>
          <w:divBdr>
            <w:top w:val="none" w:sz="0" w:space="0" w:color="auto"/>
            <w:left w:val="none" w:sz="0" w:space="0" w:color="auto"/>
            <w:bottom w:val="none" w:sz="0" w:space="0" w:color="auto"/>
            <w:right w:val="none" w:sz="0" w:space="0" w:color="auto"/>
          </w:divBdr>
        </w:div>
        <w:div w:id="954406334">
          <w:marLeft w:val="0"/>
          <w:marRight w:val="0"/>
          <w:marTop w:val="0"/>
          <w:marBottom w:val="0"/>
          <w:divBdr>
            <w:top w:val="none" w:sz="0" w:space="0" w:color="auto"/>
            <w:left w:val="none" w:sz="0" w:space="0" w:color="auto"/>
            <w:bottom w:val="none" w:sz="0" w:space="0" w:color="auto"/>
            <w:right w:val="none" w:sz="0" w:space="0" w:color="auto"/>
          </w:divBdr>
        </w:div>
        <w:div w:id="1028486041">
          <w:marLeft w:val="0"/>
          <w:marRight w:val="0"/>
          <w:marTop w:val="0"/>
          <w:marBottom w:val="0"/>
          <w:divBdr>
            <w:top w:val="none" w:sz="0" w:space="0" w:color="auto"/>
            <w:left w:val="none" w:sz="0" w:space="0" w:color="auto"/>
            <w:bottom w:val="none" w:sz="0" w:space="0" w:color="auto"/>
            <w:right w:val="none" w:sz="0" w:space="0" w:color="auto"/>
          </w:divBdr>
        </w:div>
        <w:div w:id="1037392965">
          <w:marLeft w:val="0"/>
          <w:marRight w:val="0"/>
          <w:marTop w:val="0"/>
          <w:marBottom w:val="0"/>
          <w:divBdr>
            <w:top w:val="none" w:sz="0" w:space="0" w:color="auto"/>
            <w:left w:val="none" w:sz="0" w:space="0" w:color="auto"/>
            <w:bottom w:val="none" w:sz="0" w:space="0" w:color="auto"/>
            <w:right w:val="none" w:sz="0" w:space="0" w:color="auto"/>
          </w:divBdr>
        </w:div>
        <w:div w:id="1066101080">
          <w:marLeft w:val="0"/>
          <w:marRight w:val="0"/>
          <w:marTop w:val="0"/>
          <w:marBottom w:val="0"/>
          <w:divBdr>
            <w:top w:val="none" w:sz="0" w:space="0" w:color="auto"/>
            <w:left w:val="none" w:sz="0" w:space="0" w:color="auto"/>
            <w:bottom w:val="none" w:sz="0" w:space="0" w:color="auto"/>
            <w:right w:val="none" w:sz="0" w:space="0" w:color="auto"/>
          </w:divBdr>
        </w:div>
        <w:div w:id="1098142514">
          <w:marLeft w:val="0"/>
          <w:marRight w:val="0"/>
          <w:marTop w:val="0"/>
          <w:marBottom w:val="0"/>
          <w:divBdr>
            <w:top w:val="none" w:sz="0" w:space="0" w:color="auto"/>
            <w:left w:val="none" w:sz="0" w:space="0" w:color="auto"/>
            <w:bottom w:val="none" w:sz="0" w:space="0" w:color="auto"/>
            <w:right w:val="none" w:sz="0" w:space="0" w:color="auto"/>
          </w:divBdr>
        </w:div>
        <w:div w:id="1128157386">
          <w:marLeft w:val="0"/>
          <w:marRight w:val="0"/>
          <w:marTop w:val="0"/>
          <w:marBottom w:val="0"/>
          <w:divBdr>
            <w:top w:val="none" w:sz="0" w:space="0" w:color="auto"/>
            <w:left w:val="none" w:sz="0" w:space="0" w:color="auto"/>
            <w:bottom w:val="none" w:sz="0" w:space="0" w:color="auto"/>
            <w:right w:val="none" w:sz="0" w:space="0" w:color="auto"/>
          </w:divBdr>
        </w:div>
        <w:div w:id="1282955086">
          <w:marLeft w:val="0"/>
          <w:marRight w:val="0"/>
          <w:marTop w:val="0"/>
          <w:marBottom w:val="0"/>
          <w:divBdr>
            <w:top w:val="none" w:sz="0" w:space="0" w:color="auto"/>
            <w:left w:val="none" w:sz="0" w:space="0" w:color="auto"/>
            <w:bottom w:val="none" w:sz="0" w:space="0" w:color="auto"/>
            <w:right w:val="none" w:sz="0" w:space="0" w:color="auto"/>
          </w:divBdr>
        </w:div>
        <w:div w:id="1309940256">
          <w:marLeft w:val="0"/>
          <w:marRight w:val="0"/>
          <w:marTop w:val="0"/>
          <w:marBottom w:val="0"/>
          <w:divBdr>
            <w:top w:val="none" w:sz="0" w:space="0" w:color="auto"/>
            <w:left w:val="none" w:sz="0" w:space="0" w:color="auto"/>
            <w:bottom w:val="none" w:sz="0" w:space="0" w:color="auto"/>
            <w:right w:val="none" w:sz="0" w:space="0" w:color="auto"/>
          </w:divBdr>
        </w:div>
        <w:div w:id="1374424656">
          <w:marLeft w:val="0"/>
          <w:marRight w:val="0"/>
          <w:marTop w:val="0"/>
          <w:marBottom w:val="0"/>
          <w:divBdr>
            <w:top w:val="none" w:sz="0" w:space="0" w:color="auto"/>
            <w:left w:val="none" w:sz="0" w:space="0" w:color="auto"/>
            <w:bottom w:val="none" w:sz="0" w:space="0" w:color="auto"/>
            <w:right w:val="none" w:sz="0" w:space="0" w:color="auto"/>
          </w:divBdr>
        </w:div>
        <w:div w:id="1424296458">
          <w:marLeft w:val="0"/>
          <w:marRight w:val="0"/>
          <w:marTop w:val="0"/>
          <w:marBottom w:val="0"/>
          <w:divBdr>
            <w:top w:val="none" w:sz="0" w:space="0" w:color="auto"/>
            <w:left w:val="none" w:sz="0" w:space="0" w:color="auto"/>
            <w:bottom w:val="none" w:sz="0" w:space="0" w:color="auto"/>
            <w:right w:val="none" w:sz="0" w:space="0" w:color="auto"/>
          </w:divBdr>
        </w:div>
        <w:div w:id="1434403557">
          <w:marLeft w:val="0"/>
          <w:marRight w:val="0"/>
          <w:marTop w:val="0"/>
          <w:marBottom w:val="0"/>
          <w:divBdr>
            <w:top w:val="none" w:sz="0" w:space="0" w:color="auto"/>
            <w:left w:val="none" w:sz="0" w:space="0" w:color="auto"/>
            <w:bottom w:val="none" w:sz="0" w:space="0" w:color="auto"/>
            <w:right w:val="none" w:sz="0" w:space="0" w:color="auto"/>
          </w:divBdr>
        </w:div>
        <w:div w:id="1461338063">
          <w:marLeft w:val="0"/>
          <w:marRight w:val="0"/>
          <w:marTop w:val="0"/>
          <w:marBottom w:val="0"/>
          <w:divBdr>
            <w:top w:val="none" w:sz="0" w:space="0" w:color="auto"/>
            <w:left w:val="none" w:sz="0" w:space="0" w:color="auto"/>
            <w:bottom w:val="none" w:sz="0" w:space="0" w:color="auto"/>
            <w:right w:val="none" w:sz="0" w:space="0" w:color="auto"/>
          </w:divBdr>
        </w:div>
        <w:div w:id="1497958513">
          <w:marLeft w:val="0"/>
          <w:marRight w:val="0"/>
          <w:marTop w:val="0"/>
          <w:marBottom w:val="0"/>
          <w:divBdr>
            <w:top w:val="none" w:sz="0" w:space="0" w:color="auto"/>
            <w:left w:val="none" w:sz="0" w:space="0" w:color="auto"/>
            <w:bottom w:val="none" w:sz="0" w:space="0" w:color="auto"/>
            <w:right w:val="none" w:sz="0" w:space="0" w:color="auto"/>
          </w:divBdr>
        </w:div>
        <w:div w:id="1500151239">
          <w:marLeft w:val="0"/>
          <w:marRight w:val="0"/>
          <w:marTop w:val="0"/>
          <w:marBottom w:val="0"/>
          <w:divBdr>
            <w:top w:val="none" w:sz="0" w:space="0" w:color="auto"/>
            <w:left w:val="none" w:sz="0" w:space="0" w:color="auto"/>
            <w:bottom w:val="none" w:sz="0" w:space="0" w:color="auto"/>
            <w:right w:val="none" w:sz="0" w:space="0" w:color="auto"/>
          </w:divBdr>
        </w:div>
        <w:div w:id="1574312686">
          <w:marLeft w:val="0"/>
          <w:marRight w:val="0"/>
          <w:marTop w:val="0"/>
          <w:marBottom w:val="0"/>
          <w:divBdr>
            <w:top w:val="none" w:sz="0" w:space="0" w:color="auto"/>
            <w:left w:val="none" w:sz="0" w:space="0" w:color="auto"/>
            <w:bottom w:val="none" w:sz="0" w:space="0" w:color="auto"/>
            <w:right w:val="none" w:sz="0" w:space="0" w:color="auto"/>
          </w:divBdr>
        </w:div>
        <w:div w:id="1670715893">
          <w:marLeft w:val="0"/>
          <w:marRight w:val="0"/>
          <w:marTop w:val="0"/>
          <w:marBottom w:val="0"/>
          <w:divBdr>
            <w:top w:val="none" w:sz="0" w:space="0" w:color="auto"/>
            <w:left w:val="none" w:sz="0" w:space="0" w:color="auto"/>
            <w:bottom w:val="none" w:sz="0" w:space="0" w:color="auto"/>
            <w:right w:val="none" w:sz="0" w:space="0" w:color="auto"/>
          </w:divBdr>
        </w:div>
        <w:div w:id="1741556937">
          <w:marLeft w:val="0"/>
          <w:marRight w:val="0"/>
          <w:marTop w:val="0"/>
          <w:marBottom w:val="0"/>
          <w:divBdr>
            <w:top w:val="none" w:sz="0" w:space="0" w:color="auto"/>
            <w:left w:val="none" w:sz="0" w:space="0" w:color="auto"/>
            <w:bottom w:val="none" w:sz="0" w:space="0" w:color="auto"/>
            <w:right w:val="none" w:sz="0" w:space="0" w:color="auto"/>
          </w:divBdr>
        </w:div>
        <w:div w:id="1768428383">
          <w:marLeft w:val="0"/>
          <w:marRight w:val="0"/>
          <w:marTop w:val="0"/>
          <w:marBottom w:val="0"/>
          <w:divBdr>
            <w:top w:val="none" w:sz="0" w:space="0" w:color="auto"/>
            <w:left w:val="none" w:sz="0" w:space="0" w:color="auto"/>
            <w:bottom w:val="none" w:sz="0" w:space="0" w:color="auto"/>
            <w:right w:val="none" w:sz="0" w:space="0" w:color="auto"/>
          </w:divBdr>
        </w:div>
        <w:div w:id="1790926023">
          <w:marLeft w:val="0"/>
          <w:marRight w:val="0"/>
          <w:marTop w:val="0"/>
          <w:marBottom w:val="0"/>
          <w:divBdr>
            <w:top w:val="none" w:sz="0" w:space="0" w:color="auto"/>
            <w:left w:val="none" w:sz="0" w:space="0" w:color="auto"/>
            <w:bottom w:val="none" w:sz="0" w:space="0" w:color="auto"/>
            <w:right w:val="none" w:sz="0" w:space="0" w:color="auto"/>
          </w:divBdr>
        </w:div>
        <w:div w:id="1843355646">
          <w:marLeft w:val="0"/>
          <w:marRight w:val="0"/>
          <w:marTop w:val="0"/>
          <w:marBottom w:val="0"/>
          <w:divBdr>
            <w:top w:val="none" w:sz="0" w:space="0" w:color="auto"/>
            <w:left w:val="none" w:sz="0" w:space="0" w:color="auto"/>
            <w:bottom w:val="none" w:sz="0" w:space="0" w:color="auto"/>
            <w:right w:val="none" w:sz="0" w:space="0" w:color="auto"/>
          </w:divBdr>
        </w:div>
        <w:div w:id="1862626994">
          <w:marLeft w:val="0"/>
          <w:marRight w:val="0"/>
          <w:marTop w:val="0"/>
          <w:marBottom w:val="0"/>
          <w:divBdr>
            <w:top w:val="none" w:sz="0" w:space="0" w:color="auto"/>
            <w:left w:val="none" w:sz="0" w:space="0" w:color="auto"/>
            <w:bottom w:val="none" w:sz="0" w:space="0" w:color="auto"/>
            <w:right w:val="none" w:sz="0" w:space="0" w:color="auto"/>
          </w:divBdr>
        </w:div>
        <w:div w:id="1883707518">
          <w:marLeft w:val="0"/>
          <w:marRight w:val="0"/>
          <w:marTop w:val="0"/>
          <w:marBottom w:val="0"/>
          <w:divBdr>
            <w:top w:val="none" w:sz="0" w:space="0" w:color="auto"/>
            <w:left w:val="none" w:sz="0" w:space="0" w:color="auto"/>
            <w:bottom w:val="none" w:sz="0" w:space="0" w:color="auto"/>
            <w:right w:val="none" w:sz="0" w:space="0" w:color="auto"/>
          </w:divBdr>
        </w:div>
        <w:div w:id="1888298851">
          <w:marLeft w:val="0"/>
          <w:marRight w:val="0"/>
          <w:marTop w:val="0"/>
          <w:marBottom w:val="0"/>
          <w:divBdr>
            <w:top w:val="none" w:sz="0" w:space="0" w:color="auto"/>
            <w:left w:val="none" w:sz="0" w:space="0" w:color="auto"/>
            <w:bottom w:val="none" w:sz="0" w:space="0" w:color="auto"/>
            <w:right w:val="none" w:sz="0" w:space="0" w:color="auto"/>
          </w:divBdr>
        </w:div>
        <w:div w:id="1975720636">
          <w:marLeft w:val="0"/>
          <w:marRight w:val="0"/>
          <w:marTop w:val="0"/>
          <w:marBottom w:val="0"/>
          <w:divBdr>
            <w:top w:val="none" w:sz="0" w:space="0" w:color="auto"/>
            <w:left w:val="none" w:sz="0" w:space="0" w:color="auto"/>
            <w:bottom w:val="none" w:sz="0" w:space="0" w:color="auto"/>
            <w:right w:val="none" w:sz="0" w:space="0" w:color="auto"/>
          </w:divBdr>
        </w:div>
        <w:div w:id="2003389599">
          <w:marLeft w:val="0"/>
          <w:marRight w:val="0"/>
          <w:marTop w:val="0"/>
          <w:marBottom w:val="0"/>
          <w:divBdr>
            <w:top w:val="none" w:sz="0" w:space="0" w:color="auto"/>
            <w:left w:val="none" w:sz="0" w:space="0" w:color="auto"/>
            <w:bottom w:val="none" w:sz="0" w:space="0" w:color="auto"/>
            <w:right w:val="none" w:sz="0" w:space="0" w:color="auto"/>
          </w:divBdr>
        </w:div>
        <w:div w:id="2042626191">
          <w:marLeft w:val="0"/>
          <w:marRight w:val="0"/>
          <w:marTop w:val="0"/>
          <w:marBottom w:val="0"/>
          <w:divBdr>
            <w:top w:val="none" w:sz="0" w:space="0" w:color="auto"/>
            <w:left w:val="none" w:sz="0" w:space="0" w:color="auto"/>
            <w:bottom w:val="none" w:sz="0" w:space="0" w:color="auto"/>
            <w:right w:val="none" w:sz="0" w:space="0" w:color="auto"/>
          </w:divBdr>
        </w:div>
        <w:div w:id="2068187911">
          <w:marLeft w:val="0"/>
          <w:marRight w:val="0"/>
          <w:marTop w:val="0"/>
          <w:marBottom w:val="0"/>
          <w:divBdr>
            <w:top w:val="none" w:sz="0" w:space="0" w:color="auto"/>
            <w:left w:val="none" w:sz="0" w:space="0" w:color="auto"/>
            <w:bottom w:val="none" w:sz="0" w:space="0" w:color="auto"/>
            <w:right w:val="none" w:sz="0" w:space="0" w:color="auto"/>
          </w:divBdr>
        </w:div>
        <w:div w:id="2111660308">
          <w:marLeft w:val="0"/>
          <w:marRight w:val="0"/>
          <w:marTop w:val="0"/>
          <w:marBottom w:val="0"/>
          <w:divBdr>
            <w:top w:val="none" w:sz="0" w:space="0" w:color="auto"/>
            <w:left w:val="none" w:sz="0" w:space="0" w:color="auto"/>
            <w:bottom w:val="none" w:sz="0" w:space="0" w:color="auto"/>
            <w:right w:val="none" w:sz="0" w:space="0" w:color="auto"/>
          </w:divBdr>
        </w:div>
        <w:div w:id="2118523876">
          <w:marLeft w:val="0"/>
          <w:marRight w:val="0"/>
          <w:marTop w:val="0"/>
          <w:marBottom w:val="0"/>
          <w:divBdr>
            <w:top w:val="none" w:sz="0" w:space="0" w:color="auto"/>
            <w:left w:val="none" w:sz="0" w:space="0" w:color="auto"/>
            <w:bottom w:val="none" w:sz="0" w:space="0" w:color="auto"/>
            <w:right w:val="none" w:sz="0" w:space="0" w:color="auto"/>
          </w:divBdr>
        </w:div>
        <w:div w:id="2122796638">
          <w:marLeft w:val="0"/>
          <w:marRight w:val="0"/>
          <w:marTop w:val="0"/>
          <w:marBottom w:val="0"/>
          <w:divBdr>
            <w:top w:val="none" w:sz="0" w:space="0" w:color="auto"/>
            <w:left w:val="none" w:sz="0" w:space="0" w:color="auto"/>
            <w:bottom w:val="none" w:sz="0" w:space="0" w:color="auto"/>
            <w:right w:val="none" w:sz="0" w:space="0" w:color="auto"/>
          </w:divBdr>
        </w:div>
      </w:divsChild>
    </w:div>
    <w:div w:id="1425613956">
      <w:bodyDiv w:val="1"/>
      <w:marLeft w:val="0"/>
      <w:marRight w:val="0"/>
      <w:marTop w:val="0"/>
      <w:marBottom w:val="0"/>
      <w:divBdr>
        <w:top w:val="none" w:sz="0" w:space="0" w:color="auto"/>
        <w:left w:val="none" w:sz="0" w:space="0" w:color="auto"/>
        <w:bottom w:val="none" w:sz="0" w:space="0" w:color="auto"/>
        <w:right w:val="none" w:sz="0" w:space="0" w:color="auto"/>
      </w:divBdr>
      <w:divsChild>
        <w:div w:id="1694696210">
          <w:marLeft w:val="0"/>
          <w:marRight w:val="0"/>
          <w:marTop w:val="0"/>
          <w:marBottom w:val="0"/>
          <w:divBdr>
            <w:top w:val="none" w:sz="0" w:space="0" w:color="auto"/>
            <w:left w:val="none" w:sz="0" w:space="0" w:color="auto"/>
            <w:bottom w:val="none" w:sz="0" w:space="0" w:color="auto"/>
            <w:right w:val="none" w:sz="0" w:space="0" w:color="auto"/>
          </w:divBdr>
        </w:div>
        <w:div w:id="2120484810">
          <w:marLeft w:val="0"/>
          <w:marRight w:val="0"/>
          <w:marTop w:val="0"/>
          <w:marBottom w:val="0"/>
          <w:divBdr>
            <w:top w:val="none" w:sz="0" w:space="0" w:color="auto"/>
            <w:left w:val="none" w:sz="0" w:space="0" w:color="auto"/>
            <w:bottom w:val="none" w:sz="0" w:space="0" w:color="auto"/>
            <w:right w:val="none" w:sz="0" w:space="0" w:color="auto"/>
          </w:divBdr>
        </w:div>
      </w:divsChild>
    </w:div>
    <w:div w:id="1435831910">
      <w:bodyDiv w:val="1"/>
      <w:marLeft w:val="0"/>
      <w:marRight w:val="0"/>
      <w:marTop w:val="0"/>
      <w:marBottom w:val="0"/>
      <w:divBdr>
        <w:top w:val="none" w:sz="0" w:space="0" w:color="auto"/>
        <w:left w:val="none" w:sz="0" w:space="0" w:color="auto"/>
        <w:bottom w:val="none" w:sz="0" w:space="0" w:color="auto"/>
        <w:right w:val="none" w:sz="0" w:space="0" w:color="auto"/>
      </w:divBdr>
    </w:div>
    <w:div w:id="1456407005">
      <w:bodyDiv w:val="1"/>
      <w:marLeft w:val="0"/>
      <w:marRight w:val="0"/>
      <w:marTop w:val="0"/>
      <w:marBottom w:val="0"/>
      <w:divBdr>
        <w:top w:val="none" w:sz="0" w:space="0" w:color="auto"/>
        <w:left w:val="none" w:sz="0" w:space="0" w:color="auto"/>
        <w:bottom w:val="none" w:sz="0" w:space="0" w:color="auto"/>
        <w:right w:val="none" w:sz="0" w:space="0" w:color="auto"/>
      </w:divBdr>
      <w:divsChild>
        <w:div w:id="982731970">
          <w:marLeft w:val="274"/>
          <w:marRight w:val="0"/>
          <w:marTop w:val="120"/>
          <w:marBottom w:val="120"/>
          <w:divBdr>
            <w:top w:val="none" w:sz="0" w:space="0" w:color="auto"/>
            <w:left w:val="none" w:sz="0" w:space="0" w:color="auto"/>
            <w:bottom w:val="none" w:sz="0" w:space="0" w:color="auto"/>
            <w:right w:val="none" w:sz="0" w:space="0" w:color="auto"/>
          </w:divBdr>
        </w:div>
        <w:div w:id="1394740651">
          <w:marLeft w:val="274"/>
          <w:marRight w:val="0"/>
          <w:marTop w:val="120"/>
          <w:marBottom w:val="120"/>
          <w:divBdr>
            <w:top w:val="none" w:sz="0" w:space="0" w:color="auto"/>
            <w:left w:val="none" w:sz="0" w:space="0" w:color="auto"/>
            <w:bottom w:val="none" w:sz="0" w:space="0" w:color="auto"/>
            <w:right w:val="none" w:sz="0" w:space="0" w:color="auto"/>
          </w:divBdr>
        </w:div>
      </w:divsChild>
    </w:div>
    <w:div w:id="1459641904">
      <w:bodyDiv w:val="1"/>
      <w:marLeft w:val="0"/>
      <w:marRight w:val="0"/>
      <w:marTop w:val="0"/>
      <w:marBottom w:val="0"/>
      <w:divBdr>
        <w:top w:val="none" w:sz="0" w:space="0" w:color="auto"/>
        <w:left w:val="none" w:sz="0" w:space="0" w:color="auto"/>
        <w:bottom w:val="none" w:sz="0" w:space="0" w:color="auto"/>
        <w:right w:val="none" w:sz="0" w:space="0" w:color="auto"/>
      </w:divBdr>
    </w:div>
    <w:div w:id="1474828313">
      <w:bodyDiv w:val="1"/>
      <w:marLeft w:val="0"/>
      <w:marRight w:val="0"/>
      <w:marTop w:val="0"/>
      <w:marBottom w:val="0"/>
      <w:divBdr>
        <w:top w:val="none" w:sz="0" w:space="0" w:color="auto"/>
        <w:left w:val="none" w:sz="0" w:space="0" w:color="auto"/>
        <w:bottom w:val="none" w:sz="0" w:space="0" w:color="auto"/>
        <w:right w:val="none" w:sz="0" w:space="0" w:color="auto"/>
      </w:divBdr>
      <w:divsChild>
        <w:div w:id="28456192">
          <w:marLeft w:val="0"/>
          <w:marRight w:val="0"/>
          <w:marTop w:val="0"/>
          <w:marBottom w:val="0"/>
          <w:divBdr>
            <w:top w:val="none" w:sz="0" w:space="0" w:color="auto"/>
            <w:left w:val="none" w:sz="0" w:space="0" w:color="auto"/>
            <w:bottom w:val="none" w:sz="0" w:space="0" w:color="auto"/>
            <w:right w:val="none" w:sz="0" w:space="0" w:color="auto"/>
          </w:divBdr>
        </w:div>
        <w:div w:id="177894926">
          <w:marLeft w:val="0"/>
          <w:marRight w:val="0"/>
          <w:marTop w:val="0"/>
          <w:marBottom w:val="0"/>
          <w:divBdr>
            <w:top w:val="none" w:sz="0" w:space="0" w:color="auto"/>
            <w:left w:val="none" w:sz="0" w:space="0" w:color="auto"/>
            <w:bottom w:val="none" w:sz="0" w:space="0" w:color="auto"/>
            <w:right w:val="none" w:sz="0" w:space="0" w:color="auto"/>
          </w:divBdr>
        </w:div>
        <w:div w:id="203098607">
          <w:marLeft w:val="0"/>
          <w:marRight w:val="0"/>
          <w:marTop w:val="0"/>
          <w:marBottom w:val="0"/>
          <w:divBdr>
            <w:top w:val="none" w:sz="0" w:space="0" w:color="auto"/>
            <w:left w:val="none" w:sz="0" w:space="0" w:color="auto"/>
            <w:bottom w:val="none" w:sz="0" w:space="0" w:color="auto"/>
            <w:right w:val="none" w:sz="0" w:space="0" w:color="auto"/>
          </w:divBdr>
        </w:div>
        <w:div w:id="282884282">
          <w:marLeft w:val="0"/>
          <w:marRight w:val="0"/>
          <w:marTop w:val="0"/>
          <w:marBottom w:val="0"/>
          <w:divBdr>
            <w:top w:val="none" w:sz="0" w:space="0" w:color="auto"/>
            <w:left w:val="none" w:sz="0" w:space="0" w:color="auto"/>
            <w:bottom w:val="none" w:sz="0" w:space="0" w:color="auto"/>
            <w:right w:val="none" w:sz="0" w:space="0" w:color="auto"/>
          </w:divBdr>
        </w:div>
        <w:div w:id="356395532">
          <w:marLeft w:val="0"/>
          <w:marRight w:val="0"/>
          <w:marTop w:val="0"/>
          <w:marBottom w:val="0"/>
          <w:divBdr>
            <w:top w:val="none" w:sz="0" w:space="0" w:color="auto"/>
            <w:left w:val="none" w:sz="0" w:space="0" w:color="auto"/>
            <w:bottom w:val="none" w:sz="0" w:space="0" w:color="auto"/>
            <w:right w:val="none" w:sz="0" w:space="0" w:color="auto"/>
          </w:divBdr>
        </w:div>
        <w:div w:id="372273887">
          <w:marLeft w:val="0"/>
          <w:marRight w:val="0"/>
          <w:marTop w:val="0"/>
          <w:marBottom w:val="0"/>
          <w:divBdr>
            <w:top w:val="none" w:sz="0" w:space="0" w:color="auto"/>
            <w:left w:val="none" w:sz="0" w:space="0" w:color="auto"/>
            <w:bottom w:val="none" w:sz="0" w:space="0" w:color="auto"/>
            <w:right w:val="none" w:sz="0" w:space="0" w:color="auto"/>
          </w:divBdr>
        </w:div>
        <w:div w:id="392435238">
          <w:marLeft w:val="0"/>
          <w:marRight w:val="0"/>
          <w:marTop w:val="0"/>
          <w:marBottom w:val="0"/>
          <w:divBdr>
            <w:top w:val="none" w:sz="0" w:space="0" w:color="auto"/>
            <w:left w:val="none" w:sz="0" w:space="0" w:color="auto"/>
            <w:bottom w:val="none" w:sz="0" w:space="0" w:color="auto"/>
            <w:right w:val="none" w:sz="0" w:space="0" w:color="auto"/>
          </w:divBdr>
        </w:div>
        <w:div w:id="411119594">
          <w:marLeft w:val="0"/>
          <w:marRight w:val="0"/>
          <w:marTop w:val="0"/>
          <w:marBottom w:val="0"/>
          <w:divBdr>
            <w:top w:val="none" w:sz="0" w:space="0" w:color="auto"/>
            <w:left w:val="none" w:sz="0" w:space="0" w:color="auto"/>
            <w:bottom w:val="none" w:sz="0" w:space="0" w:color="auto"/>
            <w:right w:val="none" w:sz="0" w:space="0" w:color="auto"/>
          </w:divBdr>
        </w:div>
        <w:div w:id="465511417">
          <w:marLeft w:val="0"/>
          <w:marRight w:val="0"/>
          <w:marTop w:val="0"/>
          <w:marBottom w:val="0"/>
          <w:divBdr>
            <w:top w:val="none" w:sz="0" w:space="0" w:color="auto"/>
            <w:left w:val="none" w:sz="0" w:space="0" w:color="auto"/>
            <w:bottom w:val="none" w:sz="0" w:space="0" w:color="auto"/>
            <w:right w:val="none" w:sz="0" w:space="0" w:color="auto"/>
          </w:divBdr>
        </w:div>
        <w:div w:id="489911460">
          <w:marLeft w:val="0"/>
          <w:marRight w:val="0"/>
          <w:marTop w:val="0"/>
          <w:marBottom w:val="0"/>
          <w:divBdr>
            <w:top w:val="none" w:sz="0" w:space="0" w:color="auto"/>
            <w:left w:val="none" w:sz="0" w:space="0" w:color="auto"/>
            <w:bottom w:val="none" w:sz="0" w:space="0" w:color="auto"/>
            <w:right w:val="none" w:sz="0" w:space="0" w:color="auto"/>
          </w:divBdr>
        </w:div>
        <w:div w:id="509681173">
          <w:marLeft w:val="0"/>
          <w:marRight w:val="0"/>
          <w:marTop w:val="0"/>
          <w:marBottom w:val="0"/>
          <w:divBdr>
            <w:top w:val="none" w:sz="0" w:space="0" w:color="auto"/>
            <w:left w:val="none" w:sz="0" w:space="0" w:color="auto"/>
            <w:bottom w:val="none" w:sz="0" w:space="0" w:color="auto"/>
            <w:right w:val="none" w:sz="0" w:space="0" w:color="auto"/>
          </w:divBdr>
        </w:div>
        <w:div w:id="556668500">
          <w:marLeft w:val="0"/>
          <w:marRight w:val="0"/>
          <w:marTop w:val="0"/>
          <w:marBottom w:val="0"/>
          <w:divBdr>
            <w:top w:val="none" w:sz="0" w:space="0" w:color="auto"/>
            <w:left w:val="none" w:sz="0" w:space="0" w:color="auto"/>
            <w:bottom w:val="none" w:sz="0" w:space="0" w:color="auto"/>
            <w:right w:val="none" w:sz="0" w:space="0" w:color="auto"/>
          </w:divBdr>
        </w:div>
        <w:div w:id="632099350">
          <w:marLeft w:val="0"/>
          <w:marRight w:val="0"/>
          <w:marTop w:val="0"/>
          <w:marBottom w:val="0"/>
          <w:divBdr>
            <w:top w:val="none" w:sz="0" w:space="0" w:color="auto"/>
            <w:left w:val="none" w:sz="0" w:space="0" w:color="auto"/>
            <w:bottom w:val="none" w:sz="0" w:space="0" w:color="auto"/>
            <w:right w:val="none" w:sz="0" w:space="0" w:color="auto"/>
          </w:divBdr>
        </w:div>
        <w:div w:id="644706040">
          <w:marLeft w:val="0"/>
          <w:marRight w:val="0"/>
          <w:marTop w:val="0"/>
          <w:marBottom w:val="0"/>
          <w:divBdr>
            <w:top w:val="none" w:sz="0" w:space="0" w:color="auto"/>
            <w:left w:val="none" w:sz="0" w:space="0" w:color="auto"/>
            <w:bottom w:val="none" w:sz="0" w:space="0" w:color="auto"/>
            <w:right w:val="none" w:sz="0" w:space="0" w:color="auto"/>
          </w:divBdr>
        </w:div>
        <w:div w:id="659237860">
          <w:marLeft w:val="0"/>
          <w:marRight w:val="0"/>
          <w:marTop w:val="0"/>
          <w:marBottom w:val="0"/>
          <w:divBdr>
            <w:top w:val="none" w:sz="0" w:space="0" w:color="auto"/>
            <w:left w:val="none" w:sz="0" w:space="0" w:color="auto"/>
            <w:bottom w:val="none" w:sz="0" w:space="0" w:color="auto"/>
            <w:right w:val="none" w:sz="0" w:space="0" w:color="auto"/>
          </w:divBdr>
        </w:div>
        <w:div w:id="670714569">
          <w:marLeft w:val="0"/>
          <w:marRight w:val="0"/>
          <w:marTop w:val="0"/>
          <w:marBottom w:val="0"/>
          <w:divBdr>
            <w:top w:val="none" w:sz="0" w:space="0" w:color="auto"/>
            <w:left w:val="none" w:sz="0" w:space="0" w:color="auto"/>
            <w:bottom w:val="none" w:sz="0" w:space="0" w:color="auto"/>
            <w:right w:val="none" w:sz="0" w:space="0" w:color="auto"/>
          </w:divBdr>
        </w:div>
        <w:div w:id="671684180">
          <w:marLeft w:val="0"/>
          <w:marRight w:val="0"/>
          <w:marTop w:val="0"/>
          <w:marBottom w:val="0"/>
          <w:divBdr>
            <w:top w:val="none" w:sz="0" w:space="0" w:color="auto"/>
            <w:left w:val="none" w:sz="0" w:space="0" w:color="auto"/>
            <w:bottom w:val="none" w:sz="0" w:space="0" w:color="auto"/>
            <w:right w:val="none" w:sz="0" w:space="0" w:color="auto"/>
          </w:divBdr>
        </w:div>
        <w:div w:id="685328593">
          <w:marLeft w:val="0"/>
          <w:marRight w:val="0"/>
          <w:marTop w:val="0"/>
          <w:marBottom w:val="0"/>
          <w:divBdr>
            <w:top w:val="none" w:sz="0" w:space="0" w:color="auto"/>
            <w:left w:val="none" w:sz="0" w:space="0" w:color="auto"/>
            <w:bottom w:val="none" w:sz="0" w:space="0" w:color="auto"/>
            <w:right w:val="none" w:sz="0" w:space="0" w:color="auto"/>
          </w:divBdr>
        </w:div>
        <w:div w:id="705763026">
          <w:marLeft w:val="0"/>
          <w:marRight w:val="0"/>
          <w:marTop w:val="0"/>
          <w:marBottom w:val="0"/>
          <w:divBdr>
            <w:top w:val="none" w:sz="0" w:space="0" w:color="auto"/>
            <w:left w:val="none" w:sz="0" w:space="0" w:color="auto"/>
            <w:bottom w:val="none" w:sz="0" w:space="0" w:color="auto"/>
            <w:right w:val="none" w:sz="0" w:space="0" w:color="auto"/>
          </w:divBdr>
        </w:div>
        <w:div w:id="808867419">
          <w:marLeft w:val="0"/>
          <w:marRight w:val="0"/>
          <w:marTop w:val="0"/>
          <w:marBottom w:val="0"/>
          <w:divBdr>
            <w:top w:val="none" w:sz="0" w:space="0" w:color="auto"/>
            <w:left w:val="none" w:sz="0" w:space="0" w:color="auto"/>
            <w:bottom w:val="none" w:sz="0" w:space="0" w:color="auto"/>
            <w:right w:val="none" w:sz="0" w:space="0" w:color="auto"/>
          </w:divBdr>
        </w:div>
        <w:div w:id="832768547">
          <w:marLeft w:val="0"/>
          <w:marRight w:val="0"/>
          <w:marTop w:val="0"/>
          <w:marBottom w:val="0"/>
          <w:divBdr>
            <w:top w:val="none" w:sz="0" w:space="0" w:color="auto"/>
            <w:left w:val="none" w:sz="0" w:space="0" w:color="auto"/>
            <w:bottom w:val="none" w:sz="0" w:space="0" w:color="auto"/>
            <w:right w:val="none" w:sz="0" w:space="0" w:color="auto"/>
          </w:divBdr>
        </w:div>
        <w:div w:id="837693992">
          <w:marLeft w:val="0"/>
          <w:marRight w:val="0"/>
          <w:marTop w:val="0"/>
          <w:marBottom w:val="0"/>
          <w:divBdr>
            <w:top w:val="none" w:sz="0" w:space="0" w:color="auto"/>
            <w:left w:val="none" w:sz="0" w:space="0" w:color="auto"/>
            <w:bottom w:val="none" w:sz="0" w:space="0" w:color="auto"/>
            <w:right w:val="none" w:sz="0" w:space="0" w:color="auto"/>
          </w:divBdr>
        </w:div>
        <w:div w:id="852187342">
          <w:marLeft w:val="0"/>
          <w:marRight w:val="0"/>
          <w:marTop w:val="0"/>
          <w:marBottom w:val="0"/>
          <w:divBdr>
            <w:top w:val="none" w:sz="0" w:space="0" w:color="auto"/>
            <w:left w:val="none" w:sz="0" w:space="0" w:color="auto"/>
            <w:bottom w:val="none" w:sz="0" w:space="0" w:color="auto"/>
            <w:right w:val="none" w:sz="0" w:space="0" w:color="auto"/>
          </w:divBdr>
        </w:div>
        <w:div w:id="885333560">
          <w:marLeft w:val="0"/>
          <w:marRight w:val="0"/>
          <w:marTop w:val="0"/>
          <w:marBottom w:val="0"/>
          <w:divBdr>
            <w:top w:val="none" w:sz="0" w:space="0" w:color="auto"/>
            <w:left w:val="none" w:sz="0" w:space="0" w:color="auto"/>
            <w:bottom w:val="none" w:sz="0" w:space="0" w:color="auto"/>
            <w:right w:val="none" w:sz="0" w:space="0" w:color="auto"/>
          </w:divBdr>
        </w:div>
        <w:div w:id="972323307">
          <w:marLeft w:val="0"/>
          <w:marRight w:val="0"/>
          <w:marTop w:val="0"/>
          <w:marBottom w:val="0"/>
          <w:divBdr>
            <w:top w:val="none" w:sz="0" w:space="0" w:color="auto"/>
            <w:left w:val="none" w:sz="0" w:space="0" w:color="auto"/>
            <w:bottom w:val="none" w:sz="0" w:space="0" w:color="auto"/>
            <w:right w:val="none" w:sz="0" w:space="0" w:color="auto"/>
          </w:divBdr>
        </w:div>
        <w:div w:id="1118183474">
          <w:marLeft w:val="0"/>
          <w:marRight w:val="0"/>
          <w:marTop w:val="0"/>
          <w:marBottom w:val="0"/>
          <w:divBdr>
            <w:top w:val="none" w:sz="0" w:space="0" w:color="auto"/>
            <w:left w:val="none" w:sz="0" w:space="0" w:color="auto"/>
            <w:bottom w:val="none" w:sz="0" w:space="0" w:color="auto"/>
            <w:right w:val="none" w:sz="0" w:space="0" w:color="auto"/>
          </w:divBdr>
        </w:div>
        <w:div w:id="1164665721">
          <w:marLeft w:val="0"/>
          <w:marRight w:val="0"/>
          <w:marTop w:val="0"/>
          <w:marBottom w:val="0"/>
          <w:divBdr>
            <w:top w:val="none" w:sz="0" w:space="0" w:color="auto"/>
            <w:left w:val="none" w:sz="0" w:space="0" w:color="auto"/>
            <w:bottom w:val="none" w:sz="0" w:space="0" w:color="auto"/>
            <w:right w:val="none" w:sz="0" w:space="0" w:color="auto"/>
          </w:divBdr>
        </w:div>
        <w:div w:id="1178233806">
          <w:marLeft w:val="0"/>
          <w:marRight w:val="0"/>
          <w:marTop w:val="0"/>
          <w:marBottom w:val="0"/>
          <w:divBdr>
            <w:top w:val="none" w:sz="0" w:space="0" w:color="auto"/>
            <w:left w:val="none" w:sz="0" w:space="0" w:color="auto"/>
            <w:bottom w:val="none" w:sz="0" w:space="0" w:color="auto"/>
            <w:right w:val="none" w:sz="0" w:space="0" w:color="auto"/>
          </w:divBdr>
        </w:div>
        <w:div w:id="1278756927">
          <w:marLeft w:val="0"/>
          <w:marRight w:val="0"/>
          <w:marTop w:val="0"/>
          <w:marBottom w:val="0"/>
          <w:divBdr>
            <w:top w:val="none" w:sz="0" w:space="0" w:color="auto"/>
            <w:left w:val="none" w:sz="0" w:space="0" w:color="auto"/>
            <w:bottom w:val="none" w:sz="0" w:space="0" w:color="auto"/>
            <w:right w:val="none" w:sz="0" w:space="0" w:color="auto"/>
          </w:divBdr>
        </w:div>
        <w:div w:id="1321617236">
          <w:marLeft w:val="0"/>
          <w:marRight w:val="0"/>
          <w:marTop w:val="0"/>
          <w:marBottom w:val="0"/>
          <w:divBdr>
            <w:top w:val="none" w:sz="0" w:space="0" w:color="auto"/>
            <w:left w:val="none" w:sz="0" w:space="0" w:color="auto"/>
            <w:bottom w:val="none" w:sz="0" w:space="0" w:color="auto"/>
            <w:right w:val="none" w:sz="0" w:space="0" w:color="auto"/>
          </w:divBdr>
        </w:div>
        <w:div w:id="1397821661">
          <w:marLeft w:val="0"/>
          <w:marRight w:val="0"/>
          <w:marTop w:val="0"/>
          <w:marBottom w:val="0"/>
          <w:divBdr>
            <w:top w:val="none" w:sz="0" w:space="0" w:color="auto"/>
            <w:left w:val="none" w:sz="0" w:space="0" w:color="auto"/>
            <w:bottom w:val="none" w:sz="0" w:space="0" w:color="auto"/>
            <w:right w:val="none" w:sz="0" w:space="0" w:color="auto"/>
          </w:divBdr>
        </w:div>
        <w:div w:id="1450855992">
          <w:marLeft w:val="0"/>
          <w:marRight w:val="0"/>
          <w:marTop w:val="0"/>
          <w:marBottom w:val="0"/>
          <w:divBdr>
            <w:top w:val="none" w:sz="0" w:space="0" w:color="auto"/>
            <w:left w:val="none" w:sz="0" w:space="0" w:color="auto"/>
            <w:bottom w:val="none" w:sz="0" w:space="0" w:color="auto"/>
            <w:right w:val="none" w:sz="0" w:space="0" w:color="auto"/>
          </w:divBdr>
        </w:div>
        <w:div w:id="1557665148">
          <w:marLeft w:val="0"/>
          <w:marRight w:val="0"/>
          <w:marTop w:val="0"/>
          <w:marBottom w:val="0"/>
          <w:divBdr>
            <w:top w:val="none" w:sz="0" w:space="0" w:color="auto"/>
            <w:left w:val="none" w:sz="0" w:space="0" w:color="auto"/>
            <w:bottom w:val="none" w:sz="0" w:space="0" w:color="auto"/>
            <w:right w:val="none" w:sz="0" w:space="0" w:color="auto"/>
          </w:divBdr>
        </w:div>
        <w:div w:id="1576352985">
          <w:marLeft w:val="0"/>
          <w:marRight w:val="0"/>
          <w:marTop w:val="0"/>
          <w:marBottom w:val="0"/>
          <w:divBdr>
            <w:top w:val="none" w:sz="0" w:space="0" w:color="auto"/>
            <w:left w:val="none" w:sz="0" w:space="0" w:color="auto"/>
            <w:bottom w:val="none" w:sz="0" w:space="0" w:color="auto"/>
            <w:right w:val="none" w:sz="0" w:space="0" w:color="auto"/>
          </w:divBdr>
        </w:div>
        <w:div w:id="1592197579">
          <w:marLeft w:val="0"/>
          <w:marRight w:val="0"/>
          <w:marTop w:val="0"/>
          <w:marBottom w:val="0"/>
          <w:divBdr>
            <w:top w:val="none" w:sz="0" w:space="0" w:color="auto"/>
            <w:left w:val="none" w:sz="0" w:space="0" w:color="auto"/>
            <w:bottom w:val="none" w:sz="0" w:space="0" w:color="auto"/>
            <w:right w:val="none" w:sz="0" w:space="0" w:color="auto"/>
          </w:divBdr>
        </w:div>
        <w:div w:id="1604797559">
          <w:marLeft w:val="0"/>
          <w:marRight w:val="0"/>
          <w:marTop w:val="0"/>
          <w:marBottom w:val="0"/>
          <w:divBdr>
            <w:top w:val="none" w:sz="0" w:space="0" w:color="auto"/>
            <w:left w:val="none" w:sz="0" w:space="0" w:color="auto"/>
            <w:bottom w:val="none" w:sz="0" w:space="0" w:color="auto"/>
            <w:right w:val="none" w:sz="0" w:space="0" w:color="auto"/>
          </w:divBdr>
        </w:div>
        <w:div w:id="1613246528">
          <w:marLeft w:val="0"/>
          <w:marRight w:val="0"/>
          <w:marTop w:val="0"/>
          <w:marBottom w:val="0"/>
          <w:divBdr>
            <w:top w:val="none" w:sz="0" w:space="0" w:color="auto"/>
            <w:left w:val="none" w:sz="0" w:space="0" w:color="auto"/>
            <w:bottom w:val="none" w:sz="0" w:space="0" w:color="auto"/>
            <w:right w:val="none" w:sz="0" w:space="0" w:color="auto"/>
          </w:divBdr>
        </w:div>
        <w:div w:id="1657220880">
          <w:marLeft w:val="0"/>
          <w:marRight w:val="0"/>
          <w:marTop w:val="0"/>
          <w:marBottom w:val="0"/>
          <w:divBdr>
            <w:top w:val="none" w:sz="0" w:space="0" w:color="auto"/>
            <w:left w:val="none" w:sz="0" w:space="0" w:color="auto"/>
            <w:bottom w:val="none" w:sz="0" w:space="0" w:color="auto"/>
            <w:right w:val="none" w:sz="0" w:space="0" w:color="auto"/>
          </w:divBdr>
        </w:div>
        <w:div w:id="1673794502">
          <w:marLeft w:val="0"/>
          <w:marRight w:val="0"/>
          <w:marTop w:val="0"/>
          <w:marBottom w:val="0"/>
          <w:divBdr>
            <w:top w:val="none" w:sz="0" w:space="0" w:color="auto"/>
            <w:left w:val="none" w:sz="0" w:space="0" w:color="auto"/>
            <w:bottom w:val="none" w:sz="0" w:space="0" w:color="auto"/>
            <w:right w:val="none" w:sz="0" w:space="0" w:color="auto"/>
          </w:divBdr>
        </w:div>
        <w:div w:id="1676836786">
          <w:marLeft w:val="0"/>
          <w:marRight w:val="0"/>
          <w:marTop w:val="0"/>
          <w:marBottom w:val="0"/>
          <w:divBdr>
            <w:top w:val="none" w:sz="0" w:space="0" w:color="auto"/>
            <w:left w:val="none" w:sz="0" w:space="0" w:color="auto"/>
            <w:bottom w:val="none" w:sz="0" w:space="0" w:color="auto"/>
            <w:right w:val="none" w:sz="0" w:space="0" w:color="auto"/>
          </w:divBdr>
        </w:div>
        <w:div w:id="1686665700">
          <w:marLeft w:val="0"/>
          <w:marRight w:val="0"/>
          <w:marTop w:val="0"/>
          <w:marBottom w:val="0"/>
          <w:divBdr>
            <w:top w:val="none" w:sz="0" w:space="0" w:color="auto"/>
            <w:left w:val="none" w:sz="0" w:space="0" w:color="auto"/>
            <w:bottom w:val="none" w:sz="0" w:space="0" w:color="auto"/>
            <w:right w:val="none" w:sz="0" w:space="0" w:color="auto"/>
          </w:divBdr>
        </w:div>
        <w:div w:id="1850294033">
          <w:marLeft w:val="0"/>
          <w:marRight w:val="0"/>
          <w:marTop w:val="0"/>
          <w:marBottom w:val="0"/>
          <w:divBdr>
            <w:top w:val="none" w:sz="0" w:space="0" w:color="auto"/>
            <w:left w:val="none" w:sz="0" w:space="0" w:color="auto"/>
            <w:bottom w:val="none" w:sz="0" w:space="0" w:color="auto"/>
            <w:right w:val="none" w:sz="0" w:space="0" w:color="auto"/>
          </w:divBdr>
        </w:div>
        <w:div w:id="1938243568">
          <w:marLeft w:val="0"/>
          <w:marRight w:val="0"/>
          <w:marTop w:val="0"/>
          <w:marBottom w:val="0"/>
          <w:divBdr>
            <w:top w:val="none" w:sz="0" w:space="0" w:color="auto"/>
            <w:left w:val="none" w:sz="0" w:space="0" w:color="auto"/>
            <w:bottom w:val="none" w:sz="0" w:space="0" w:color="auto"/>
            <w:right w:val="none" w:sz="0" w:space="0" w:color="auto"/>
          </w:divBdr>
        </w:div>
        <w:div w:id="1972634819">
          <w:marLeft w:val="0"/>
          <w:marRight w:val="0"/>
          <w:marTop w:val="0"/>
          <w:marBottom w:val="0"/>
          <w:divBdr>
            <w:top w:val="none" w:sz="0" w:space="0" w:color="auto"/>
            <w:left w:val="none" w:sz="0" w:space="0" w:color="auto"/>
            <w:bottom w:val="none" w:sz="0" w:space="0" w:color="auto"/>
            <w:right w:val="none" w:sz="0" w:space="0" w:color="auto"/>
          </w:divBdr>
        </w:div>
        <w:div w:id="2015915388">
          <w:marLeft w:val="0"/>
          <w:marRight w:val="0"/>
          <w:marTop w:val="0"/>
          <w:marBottom w:val="0"/>
          <w:divBdr>
            <w:top w:val="none" w:sz="0" w:space="0" w:color="auto"/>
            <w:left w:val="none" w:sz="0" w:space="0" w:color="auto"/>
            <w:bottom w:val="none" w:sz="0" w:space="0" w:color="auto"/>
            <w:right w:val="none" w:sz="0" w:space="0" w:color="auto"/>
          </w:divBdr>
        </w:div>
        <w:div w:id="2116900956">
          <w:marLeft w:val="0"/>
          <w:marRight w:val="0"/>
          <w:marTop w:val="0"/>
          <w:marBottom w:val="0"/>
          <w:divBdr>
            <w:top w:val="none" w:sz="0" w:space="0" w:color="auto"/>
            <w:left w:val="none" w:sz="0" w:space="0" w:color="auto"/>
            <w:bottom w:val="none" w:sz="0" w:space="0" w:color="auto"/>
            <w:right w:val="none" w:sz="0" w:space="0" w:color="auto"/>
          </w:divBdr>
        </w:div>
      </w:divsChild>
    </w:div>
    <w:div w:id="1480614202">
      <w:bodyDiv w:val="1"/>
      <w:marLeft w:val="0"/>
      <w:marRight w:val="0"/>
      <w:marTop w:val="0"/>
      <w:marBottom w:val="0"/>
      <w:divBdr>
        <w:top w:val="none" w:sz="0" w:space="0" w:color="auto"/>
        <w:left w:val="none" w:sz="0" w:space="0" w:color="auto"/>
        <w:bottom w:val="none" w:sz="0" w:space="0" w:color="auto"/>
        <w:right w:val="none" w:sz="0" w:space="0" w:color="auto"/>
      </w:divBdr>
      <w:divsChild>
        <w:div w:id="15617801">
          <w:marLeft w:val="0"/>
          <w:marRight w:val="0"/>
          <w:marTop w:val="0"/>
          <w:marBottom w:val="0"/>
          <w:divBdr>
            <w:top w:val="none" w:sz="0" w:space="0" w:color="auto"/>
            <w:left w:val="none" w:sz="0" w:space="0" w:color="auto"/>
            <w:bottom w:val="none" w:sz="0" w:space="0" w:color="auto"/>
            <w:right w:val="none" w:sz="0" w:space="0" w:color="auto"/>
          </w:divBdr>
        </w:div>
        <w:div w:id="127019912">
          <w:marLeft w:val="0"/>
          <w:marRight w:val="0"/>
          <w:marTop w:val="0"/>
          <w:marBottom w:val="0"/>
          <w:divBdr>
            <w:top w:val="none" w:sz="0" w:space="0" w:color="auto"/>
            <w:left w:val="none" w:sz="0" w:space="0" w:color="auto"/>
            <w:bottom w:val="none" w:sz="0" w:space="0" w:color="auto"/>
            <w:right w:val="none" w:sz="0" w:space="0" w:color="auto"/>
          </w:divBdr>
        </w:div>
        <w:div w:id="338653276">
          <w:marLeft w:val="0"/>
          <w:marRight w:val="0"/>
          <w:marTop w:val="0"/>
          <w:marBottom w:val="0"/>
          <w:divBdr>
            <w:top w:val="none" w:sz="0" w:space="0" w:color="auto"/>
            <w:left w:val="none" w:sz="0" w:space="0" w:color="auto"/>
            <w:bottom w:val="none" w:sz="0" w:space="0" w:color="auto"/>
            <w:right w:val="none" w:sz="0" w:space="0" w:color="auto"/>
          </w:divBdr>
        </w:div>
        <w:div w:id="367143619">
          <w:marLeft w:val="0"/>
          <w:marRight w:val="0"/>
          <w:marTop w:val="0"/>
          <w:marBottom w:val="0"/>
          <w:divBdr>
            <w:top w:val="none" w:sz="0" w:space="0" w:color="auto"/>
            <w:left w:val="none" w:sz="0" w:space="0" w:color="auto"/>
            <w:bottom w:val="none" w:sz="0" w:space="0" w:color="auto"/>
            <w:right w:val="none" w:sz="0" w:space="0" w:color="auto"/>
          </w:divBdr>
        </w:div>
        <w:div w:id="390419812">
          <w:marLeft w:val="0"/>
          <w:marRight w:val="0"/>
          <w:marTop w:val="0"/>
          <w:marBottom w:val="0"/>
          <w:divBdr>
            <w:top w:val="none" w:sz="0" w:space="0" w:color="auto"/>
            <w:left w:val="none" w:sz="0" w:space="0" w:color="auto"/>
            <w:bottom w:val="none" w:sz="0" w:space="0" w:color="auto"/>
            <w:right w:val="none" w:sz="0" w:space="0" w:color="auto"/>
          </w:divBdr>
        </w:div>
        <w:div w:id="440419549">
          <w:marLeft w:val="0"/>
          <w:marRight w:val="0"/>
          <w:marTop w:val="0"/>
          <w:marBottom w:val="0"/>
          <w:divBdr>
            <w:top w:val="none" w:sz="0" w:space="0" w:color="auto"/>
            <w:left w:val="none" w:sz="0" w:space="0" w:color="auto"/>
            <w:bottom w:val="none" w:sz="0" w:space="0" w:color="auto"/>
            <w:right w:val="none" w:sz="0" w:space="0" w:color="auto"/>
          </w:divBdr>
        </w:div>
        <w:div w:id="502740496">
          <w:marLeft w:val="0"/>
          <w:marRight w:val="0"/>
          <w:marTop w:val="0"/>
          <w:marBottom w:val="0"/>
          <w:divBdr>
            <w:top w:val="none" w:sz="0" w:space="0" w:color="auto"/>
            <w:left w:val="none" w:sz="0" w:space="0" w:color="auto"/>
            <w:bottom w:val="none" w:sz="0" w:space="0" w:color="auto"/>
            <w:right w:val="none" w:sz="0" w:space="0" w:color="auto"/>
          </w:divBdr>
        </w:div>
        <w:div w:id="556011886">
          <w:marLeft w:val="0"/>
          <w:marRight w:val="0"/>
          <w:marTop w:val="0"/>
          <w:marBottom w:val="0"/>
          <w:divBdr>
            <w:top w:val="none" w:sz="0" w:space="0" w:color="auto"/>
            <w:left w:val="none" w:sz="0" w:space="0" w:color="auto"/>
            <w:bottom w:val="none" w:sz="0" w:space="0" w:color="auto"/>
            <w:right w:val="none" w:sz="0" w:space="0" w:color="auto"/>
          </w:divBdr>
        </w:div>
        <w:div w:id="603613014">
          <w:marLeft w:val="0"/>
          <w:marRight w:val="0"/>
          <w:marTop w:val="0"/>
          <w:marBottom w:val="0"/>
          <w:divBdr>
            <w:top w:val="none" w:sz="0" w:space="0" w:color="auto"/>
            <w:left w:val="none" w:sz="0" w:space="0" w:color="auto"/>
            <w:bottom w:val="none" w:sz="0" w:space="0" w:color="auto"/>
            <w:right w:val="none" w:sz="0" w:space="0" w:color="auto"/>
          </w:divBdr>
        </w:div>
        <w:div w:id="653029125">
          <w:marLeft w:val="0"/>
          <w:marRight w:val="0"/>
          <w:marTop w:val="0"/>
          <w:marBottom w:val="0"/>
          <w:divBdr>
            <w:top w:val="none" w:sz="0" w:space="0" w:color="auto"/>
            <w:left w:val="none" w:sz="0" w:space="0" w:color="auto"/>
            <w:bottom w:val="none" w:sz="0" w:space="0" w:color="auto"/>
            <w:right w:val="none" w:sz="0" w:space="0" w:color="auto"/>
          </w:divBdr>
        </w:div>
        <w:div w:id="674234751">
          <w:marLeft w:val="0"/>
          <w:marRight w:val="0"/>
          <w:marTop w:val="0"/>
          <w:marBottom w:val="0"/>
          <w:divBdr>
            <w:top w:val="none" w:sz="0" w:space="0" w:color="auto"/>
            <w:left w:val="none" w:sz="0" w:space="0" w:color="auto"/>
            <w:bottom w:val="none" w:sz="0" w:space="0" w:color="auto"/>
            <w:right w:val="none" w:sz="0" w:space="0" w:color="auto"/>
          </w:divBdr>
        </w:div>
        <w:div w:id="847209965">
          <w:marLeft w:val="0"/>
          <w:marRight w:val="0"/>
          <w:marTop w:val="0"/>
          <w:marBottom w:val="0"/>
          <w:divBdr>
            <w:top w:val="none" w:sz="0" w:space="0" w:color="auto"/>
            <w:left w:val="none" w:sz="0" w:space="0" w:color="auto"/>
            <w:bottom w:val="none" w:sz="0" w:space="0" w:color="auto"/>
            <w:right w:val="none" w:sz="0" w:space="0" w:color="auto"/>
          </w:divBdr>
        </w:div>
        <w:div w:id="976301220">
          <w:marLeft w:val="0"/>
          <w:marRight w:val="0"/>
          <w:marTop w:val="0"/>
          <w:marBottom w:val="0"/>
          <w:divBdr>
            <w:top w:val="none" w:sz="0" w:space="0" w:color="auto"/>
            <w:left w:val="none" w:sz="0" w:space="0" w:color="auto"/>
            <w:bottom w:val="none" w:sz="0" w:space="0" w:color="auto"/>
            <w:right w:val="none" w:sz="0" w:space="0" w:color="auto"/>
          </w:divBdr>
        </w:div>
        <w:div w:id="1116869877">
          <w:marLeft w:val="0"/>
          <w:marRight w:val="0"/>
          <w:marTop w:val="0"/>
          <w:marBottom w:val="0"/>
          <w:divBdr>
            <w:top w:val="none" w:sz="0" w:space="0" w:color="auto"/>
            <w:left w:val="none" w:sz="0" w:space="0" w:color="auto"/>
            <w:bottom w:val="none" w:sz="0" w:space="0" w:color="auto"/>
            <w:right w:val="none" w:sz="0" w:space="0" w:color="auto"/>
          </w:divBdr>
        </w:div>
        <w:div w:id="1304041915">
          <w:marLeft w:val="0"/>
          <w:marRight w:val="0"/>
          <w:marTop w:val="0"/>
          <w:marBottom w:val="0"/>
          <w:divBdr>
            <w:top w:val="none" w:sz="0" w:space="0" w:color="auto"/>
            <w:left w:val="none" w:sz="0" w:space="0" w:color="auto"/>
            <w:bottom w:val="none" w:sz="0" w:space="0" w:color="auto"/>
            <w:right w:val="none" w:sz="0" w:space="0" w:color="auto"/>
          </w:divBdr>
        </w:div>
        <w:div w:id="1375035733">
          <w:marLeft w:val="0"/>
          <w:marRight w:val="0"/>
          <w:marTop w:val="0"/>
          <w:marBottom w:val="0"/>
          <w:divBdr>
            <w:top w:val="none" w:sz="0" w:space="0" w:color="auto"/>
            <w:left w:val="none" w:sz="0" w:space="0" w:color="auto"/>
            <w:bottom w:val="none" w:sz="0" w:space="0" w:color="auto"/>
            <w:right w:val="none" w:sz="0" w:space="0" w:color="auto"/>
          </w:divBdr>
        </w:div>
        <w:div w:id="1523713382">
          <w:marLeft w:val="0"/>
          <w:marRight w:val="0"/>
          <w:marTop w:val="0"/>
          <w:marBottom w:val="0"/>
          <w:divBdr>
            <w:top w:val="none" w:sz="0" w:space="0" w:color="auto"/>
            <w:left w:val="none" w:sz="0" w:space="0" w:color="auto"/>
            <w:bottom w:val="none" w:sz="0" w:space="0" w:color="auto"/>
            <w:right w:val="none" w:sz="0" w:space="0" w:color="auto"/>
          </w:divBdr>
        </w:div>
        <w:div w:id="1621842186">
          <w:marLeft w:val="0"/>
          <w:marRight w:val="0"/>
          <w:marTop w:val="0"/>
          <w:marBottom w:val="0"/>
          <w:divBdr>
            <w:top w:val="none" w:sz="0" w:space="0" w:color="auto"/>
            <w:left w:val="none" w:sz="0" w:space="0" w:color="auto"/>
            <w:bottom w:val="none" w:sz="0" w:space="0" w:color="auto"/>
            <w:right w:val="none" w:sz="0" w:space="0" w:color="auto"/>
          </w:divBdr>
        </w:div>
        <w:div w:id="1763407546">
          <w:marLeft w:val="0"/>
          <w:marRight w:val="0"/>
          <w:marTop w:val="0"/>
          <w:marBottom w:val="0"/>
          <w:divBdr>
            <w:top w:val="none" w:sz="0" w:space="0" w:color="auto"/>
            <w:left w:val="none" w:sz="0" w:space="0" w:color="auto"/>
            <w:bottom w:val="none" w:sz="0" w:space="0" w:color="auto"/>
            <w:right w:val="none" w:sz="0" w:space="0" w:color="auto"/>
          </w:divBdr>
        </w:div>
        <w:div w:id="1826823568">
          <w:marLeft w:val="0"/>
          <w:marRight w:val="0"/>
          <w:marTop w:val="0"/>
          <w:marBottom w:val="0"/>
          <w:divBdr>
            <w:top w:val="none" w:sz="0" w:space="0" w:color="auto"/>
            <w:left w:val="none" w:sz="0" w:space="0" w:color="auto"/>
            <w:bottom w:val="none" w:sz="0" w:space="0" w:color="auto"/>
            <w:right w:val="none" w:sz="0" w:space="0" w:color="auto"/>
          </w:divBdr>
        </w:div>
        <w:div w:id="1880511356">
          <w:marLeft w:val="0"/>
          <w:marRight w:val="0"/>
          <w:marTop w:val="0"/>
          <w:marBottom w:val="0"/>
          <w:divBdr>
            <w:top w:val="none" w:sz="0" w:space="0" w:color="auto"/>
            <w:left w:val="none" w:sz="0" w:space="0" w:color="auto"/>
            <w:bottom w:val="none" w:sz="0" w:space="0" w:color="auto"/>
            <w:right w:val="none" w:sz="0" w:space="0" w:color="auto"/>
          </w:divBdr>
        </w:div>
        <w:div w:id="1908756431">
          <w:marLeft w:val="0"/>
          <w:marRight w:val="0"/>
          <w:marTop w:val="0"/>
          <w:marBottom w:val="0"/>
          <w:divBdr>
            <w:top w:val="none" w:sz="0" w:space="0" w:color="auto"/>
            <w:left w:val="none" w:sz="0" w:space="0" w:color="auto"/>
            <w:bottom w:val="none" w:sz="0" w:space="0" w:color="auto"/>
            <w:right w:val="none" w:sz="0" w:space="0" w:color="auto"/>
          </w:divBdr>
        </w:div>
        <w:div w:id="1989431581">
          <w:marLeft w:val="0"/>
          <w:marRight w:val="0"/>
          <w:marTop w:val="0"/>
          <w:marBottom w:val="0"/>
          <w:divBdr>
            <w:top w:val="none" w:sz="0" w:space="0" w:color="auto"/>
            <w:left w:val="none" w:sz="0" w:space="0" w:color="auto"/>
            <w:bottom w:val="none" w:sz="0" w:space="0" w:color="auto"/>
            <w:right w:val="none" w:sz="0" w:space="0" w:color="auto"/>
          </w:divBdr>
        </w:div>
      </w:divsChild>
    </w:div>
    <w:div w:id="1480687538">
      <w:bodyDiv w:val="1"/>
      <w:marLeft w:val="0"/>
      <w:marRight w:val="0"/>
      <w:marTop w:val="0"/>
      <w:marBottom w:val="0"/>
      <w:divBdr>
        <w:top w:val="none" w:sz="0" w:space="0" w:color="auto"/>
        <w:left w:val="none" w:sz="0" w:space="0" w:color="auto"/>
        <w:bottom w:val="none" w:sz="0" w:space="0" w:color="auto"/>
        <w:right w:val="none" w:sz="0" w:space="0" w:color="auto"/>
      </w:divBdr>
      <w:divsChild>
        <w:div w:id="25066852">
          <w:marLeft w:val="0"/>
          <w:marRight w:val="0"/>
          <w:marTop w:val="0"/>
          <w:marBottom w:val="0"/>
          <w:divBdr>
            <w:top w:val="none" w:sz="0" w:space="0" w:color="auto"/>
            <w:left w:val="none" w:sz="0" w:space="0" w:color="auto"/>
            <w:bottom w:val="none" w:sz="0" w:space="0" w:color="auto"/>
            <w:right w:val="none" w:sz="0" w:space="0" w:color="auto"/>
          </w:divBdr>
        </w:div>
        <w:div w:id="737438349">
          <w:marLeft w:val="0"/>
          <w:marRight w:val="0"/>
          <w:marTop w:val="0"/>
          <w:marBottom w:val="0"/>
          <w:divBdr>
            <w:top w:val="none" w:sz="0" w:space="0" w:color="auto"/>
            <w:left w:val="none" w:sz="0" w:space="0" w:color="auto"/>
            <w:bottom w:val="none" w:sz="0" w:space="0" w:color="auto"/>
            <w:right w:val="none" w:sz="0" w:space="0" w:color="auto"/>
          </w:divBdr>
        </w:div>
      </w:divsChild>
    </w:div>
    <w:div w:id="1494294187">
      <w:bodyDiv w:val="1"/>
      <w:marLeft w:val="0"/>
      <w:marRight w:val="0"/>
      <w:marTop w:val="0"/>
      <w:marBottom w:val="0"/>
      <w:divBdr>
        <w:top w:val="none" w:sz="0" w:space="0" w:color="auto"/>
        <w:left w:val="none" w:sz="0" w:space="0" w:color="auto"/>
        <w:bottom w:val="none" w:sz="0" w:space="0" w:color="auto"/>
        <w:right w:val="none" w:sz="0" w:space="0" w:color="auto"/>
      </w:divBdr>
      <w:divsChild>
        <w:div w:id="591548950">
          <w:marLeft w:val="0"/>
          <w:marRight w:val="0"/>
          <w:marTop w:val="0"/>
          <w:marBottom w:val="0"/>
          <w:divBdr>
            <w:top w:val="none" w:sz="0" w:space="0" w:color="auto"/>
            <w:left w:val="none" w:sz="0" w:space="0" w:color="auto"/>
            <w:bottom w:val="none" w:sz="0" w:space="0" w:color="auto"/>
            <w:right w:val="none" w:sz="0" w:space="0" w:color="auto"/>
          </w:divBdr>
        </w:div>
        <w:div w:id="852689112">
          <w:marLeft w:val="0"/>
          <w:marRight w:val="0"/>
          <w:marTop w:val="0"/>
          <w:marBottom w:val="0"/>
          <w:divBdr>
            <w:top w:val="none" w:sz="0" w:space="0" w:color="auto"/>
            <w:left w:val="none" w:sz="0" w:space="0" w:color="auto"/>
            <w:bottom w:val="none" w:sz="0" w:space="0" w:color="auto"/>
            <w:right w:val="none" w:sz="0" w:space="0" w:color="auto"/>
          </w:divBdr>
        </w:div>
        <w:div w:id="1080172955">
          <w:marLeft w:val="0"/>
          <w:marRight w:val="0"/>
          <w:marTop w:val="0"/>
          <w:marBottom w:val="0"/>
          <w:divBdr>
            <w:top w:val="none" w:sz="0" w:space="0" w:color="auto"/>
            <w:left w:val="none" w:sz="0" w:space="0" w:color="auto"/>
            <w:bottom w:val="none" w:sz="0" w:space="0" w:color="auto"/>
            <w:right w:val="none" w:sz="0" w:space="0" w:color="auto"/>
          </w:divBdr>
        </w:div>
        <w:div w:id="1183058448">
          <w:marLeft w:val="0"/>
          <w:marRight w:val="0"/>
          <w:marTop w:val="0"/>
          <w:marBottom w:val="0"/>
          <w:divBdr>
            <w:top w:val="none" w:sz="0" w:space="0" w:color="auto"/>
            <w:left w:val="none" w:sz="0" w:space="0" w:color="auto"/>
            <w:bottom w:val="none" w:sz="0" w:space="0" w:color="auto"/>
            <w:right w:val="none" w:sz="0" w:space="0" w:color="auto"/>
          </w:divBdr>
        </w:div>
        <w:div w:id="1202522217">
          <w:marLeft w:val="0"/>
          <w:marRight w:val="0"/>
          <w:marTop w:val="0"/>
          <w:marBottom w:val="0"/>
          <w:divBdr>
            <w:top w:val="none" w:sz="0" w:space="0" w:color="auto"/>
            <w:left w:val="none" w:sz="0" w:space="0" w:color="auto"/>
            <w:bottom w:val="none" w:sz="0" w:space="0" w:color="auto"/>
            <w:right w:val="none" w:sz="0" w:space="0" w:color="auto"/>
          </w:divBdr>
        </w:div>
        <w:div w:id="1437142556">
          <w:marLeft w:val="0"/>
          <w:marRight w:val="0"/>
          <w:marTop w:val="0"/>
          <w:marBottom w:val="0"/>
          <w:divBdr>
            <w:top w:val="none" w:sz="0" w:space="0" w:color="auto"/>
            <w:left w:val="none" w:sz="0" w:space="0" w:color="auto"/>
            <w:bottom w:val="none" w:sz="0" w:space="0" w:color="auto"/>
            <w:right w:val="none" w:sz="0" w:space="0" w:color="auto"/>
          </w:divBdr>
        </w:div>
        <w:div w:id="1582059765">
          <w:marLeft w:val="0"/>
          <w:marRight w:val="0"/>
          <w:marTop w:val="0"/>
          <w:marBottom w:val="0"/>
          <w:divBdr>
            <w:top w:val="none" w:sz="0" w:space="0" w:color="auto"/>
            <w:left w:val="none" w:sz="0" w:space="0" w:color="auto"/>
            <w:bottom w:val="none" w:sz="0" w:space="0" w:color="auto"/>
            <w:right w:val="none" w:sz="0" w:space="0" w:color="auto"/>
          </w:divBdr>
        </w:div>
      </w:divsChild>
    </w:div>
    <w:div w:id="1508056705">
      <w:bodyDiv w:val="1"/>
      <w:marLeft w:val="0"/>
      <w:marRight w:val="0"/>
      <w:marTop w:val="0"/>
      <w:marBottom w:val="0"/>
      <w:divBdr>
        <w:top w:val="none" w:sz="0" w:space="0" w:color="auto"/>
        <w:left w:val="none" w:sz="0" w:space="0" w:color="auto"/>
        <w:bottom w:val="none" w:sz="0" w:space="0" w:color="auto"/>
        <w:right w:val="none" w:sz="0" w:space="0" w:color="auto"/>
      </w:divBdr>
      <w:divsChild>
        <w:div w:id="1718818740">
          <w:marLeft w:val="0"/>
          <w:marRight w:val="0"/>
          <w:marTop w:val="0"/>
          <w:marBottom w:val="0"/>
          <w:divBdr>
            <w:top w:val="none" w:sz="0" w:space="0" w:color="auto"/>
            <w:left w:val="none" w:sz="0" w:space="0" w:color="auto"/>
            <w:bottom w:val="none" w:sz="0" w:space="0" w:color="auto"/>
            <w:right w:val="none" w:sz="0" w:space="0" w:color="auto"/>
          </w:divBdr>
        </w:div>
      </w:divsChild>
    </w:div>
    <w:div w:id="1509640345">
      <w:bodyDiv w:val="1"/>
      <w:marLeft w:val="0"/>
      <w:marRight w:val="0"/>
      <w:marTop w:val="0"/>
      <w:marBottom w:val="0"/>
      <w:divBdr>
        <w:top w:val="none" w:sz="0" w:space="0" w:color="auto"/>
        <w:left w:val="none" w:sz="0" w:space="0" w:color="auto"/>
        <w:bottom w:val="none" w:sz="0" w:space="0" w:color="auto"/>
        <w:right w:val="none" w:sz="0" w:space="0" w:color="auto"/>
      </w:divBdr>
      <w:divsChild>
        <w:div w:id="48573796">
          <w:marLeft w:val="0"/>
          <w:marRight w:val="0"/>
          <w:marTop w:val="0"/>
          <w:marBottom w:val="0"/>
          <w:divBdr>
            <w:top w:val="none" w:sz="0" w:space="0" w:color="auto"/>
            <w:left w:val="none" w:sz="0" w:space="0" w:color="auto"/>
            <w:bottom w:val="none" w:sz="0" w:space="0" w:color="auto"/>
            <w:right w:val="none" w:sz="0" w:space="0" w:color="auto"/>
          </w:divBdr>
        </w:div>
        <w:div w:id="48773370">
          <w:marLeft w:val="0"/>
          <w:marRight w:val="0"/>
          <w:marTop w:val="0"/>
          <w:marBottom w:val="0"/>
          <w:divBdr>
            <w:top w:val="none" w:sz="0" w:space="0" w:color="auto"/>
            <w:left w:val="none" w:sz="0" w:space="0" w:color="auto"/>
            <w:bottom w:val="none" w:sz="0" w:space="0" w:color="auto"/>
            <w:right w:val="none" w:sz="0" w:space="0" w:color="auto"/>
          </w:divBdr>
        </w:div>
        <w:div w:id="218170741">
          <w:marLeft w:val="0"/>
          <w:marRight w:val="0"/>
          <w:marTop w:val="0"/>
          <w:marBottom w:val="0"/>
          <w:divBdr>
            <w:top w:val="none" w:sz="0" w:space="0" w:color="auto"/>
            <w:left w:val="none" w:sz="0" w:space="0" w:color="auto"/>
            <w:bottom w:val="none" w:sz="0" w:space="0" w:color="auto"/>
            <w:right w:val="none" w:sz="0" w:space="0" w:color="auto"/>
          </w:divBdr>
        </w:div>
        <w:div w:id="305088946">
          <w:marLeft w:val="0"/>
          <w:marRight w:val="0"/>
          <w:marTop w:val="0"/>
          <w:marBottom w:val="0"/>
          <w:divBdr>
            <w:top w:val="none" w:sz="0" w:space="0" w:color="auto"/>
            <w:left w:val="none" w:sz="0" w:space="0" w:color="auto"/>
            <w:bottom w:val="none" w:sz="0" w:space="0" w:color="auto"/>
            <w:right w:val="none" w:sz="0" w:space="0" w:color="auto"/>
          </w:divBdr>
        </w:div>
        <w:div w:id="438062592">
          <w:marLeft w:val="0"/>
          <w:marRight w:val="0"/>
          <w:marTop w:val="0"/>
          <w:marBottom w:val="0"/>
          <w:divBdr>
            <w:top w:val="none" w:sz="0" w:space="0" w:color="auto"/>
            <w:left w:val="none" w:sz="0" w:space="0" w:color="auto"/>
            <w:bottom w:val="none" w:sz="0" w:space="0" w:color="auto"/>
            <w:right w:val="none" w:sz="0" w:space="0" w:color="auto"/>
          </w:divBdr>
        </w:div>
        <w:div w:id="458228621">
          <w:marLeft w:val="0"/>
          <w:marRight w:val="0"/>
          <w:marTop w:val="0"/>
          <w:marBottom w:val="0"/>
          <w:divBdr>
            <w:top w:val="none" w:sz="0" w:space="0" w:color="auto"/>
            <w:left w:val="none" w:sz="0" w:space="0" w:color="auto"/>
            <w:bottom w:val="none" w:sz="0" w:space="0" w:color="auto"/>
            <w:right w:val="none" w:sz="0" w:space="0" w:color="auto"/>
          </w:divBdr>
        </w:div>
        <w:div w:id="548996533">
          <w:marLeft w:val="0"/>
          <w:marRight w:val="0"/>
          <w:marTop w:val="0"/>
          <w:marBottom w:val="0"/>
          <w:divBdr>
            <w:top w:val="none" w:sz="0" w:space="0" w:color="auto"/>
            <w:left w:val="none" w:sz="0" w:space="0" w:color="auto"/>
            <w:bottom w:val="none" w:sz="0" w:space="0" w:color="auto"/>
            <w:right w:val="none" w:sz="0" w:space="0" w:color="auto"/>
          </w:divBdr>
        </w:div>
        <w:div w:id="582834715">
          <w:marLeft w:val="0"/>
          <w:marRight w:val="0"/>
          <w:marTop w:val="0"/>
          <w:marBottom w:val="0"/>
          <w:divBdr>
            <w:top w:val="none" w:sz="0" w:space="0" w:color="auto"/>
            <w:left w:val="none" w:sz="0" w:space="0" w:color="auto"/>
            <w:bottom w:val="none" w:sz="0" w:space="0" w:color="auto"/>
            <w:right w:val="none" w:sz="0" w:space="0" w:color="auto"/>
          </w:divBdr>
        </w:div>
        <w:div w:id="590967022">
          <w:marLeft w:val="0"/>
          <w:marRight w:val="0"/>
          <w:marTop w:val="0"/>
          <w:marBottom w:val="0"/>
          <w:divBdr>
            <w:top w:val="none" w:sz="0" w:space="0" w:color="auto"/>
            <w:left w:val="none" w:sz="0" w:space="0" w:color="auto"/>
            <w:bottom w:val="none" w:sz="0" w:space="0" w:color="auto"/>
            <w:right w:val="none" w:sz="0" w:space="0" w:color="auto"/>
          </w:divBdr>
        </w:div>
        <w:div w:id="634485263">
          <w:marLeft w:val="0"/>
          <w:marRight w:val="0"/>
          <w:marTop w:val="0"/>
          <w:marBottom w:val="0"/>
          <w:divBdr>
            <w:top w:val="none" w:sz="0" w:space="0" w:color="auto"/>
            <w:left w:val="none" w:sz="0" w:space="0" w:color="auto"/>
            <w:bottom w:val="none" w:sz="0" w:space="0" w:color="auto"/>
            <w:right w:val="none" w:sz="0" w:space="0" w:color="auto"/>
          </w:divBdr>
        </w:div>
        <w:div w:id="649406185">
          <w:marLeft w:val="0"/>
          <w:marRight w:val="0"/>
          <w:marTop w:val="0"/>
          <w:marBottom w:val="0"/>
          <w:divBdr>
            <w:top w:val="none" w:sz="0" w:space="0" w:color="auto"/>
            <w:left w:val="none" w:sz="0" w:space="0" w:color="auto"/>
            <w:bottom w:val="none" w:sz="0" w:space="0" w:color="auto"/>
            <w:right w:val="none" w:sz="0" w:space="0" w:color="auto"/>
          </w:divBdr>
        </w:div>
        <w:div w:id="901251761">
          <w:marLeft w:val="0"/>
          <w:marRight w:val="0"/>
          <w:marTop w:val="0"/>
          <w:marBottom w:val="0"/>
          <w:divBdr>
            <w:top w:val="none" w:sz="0" w:space="0" w:color="auto"/>
            <w:left w:val="none" w:sz="0" w:space="0" w:color="auto"/>
            <w:bottom w:val="none" w:sz="0" w:space="0" w:color="auto"/>
            <w:right w:val="none" w:sz="0" w:space="0" w:color="auto"/>
          </w:divBdr>
        </w:div>
        <w:div w:id="905871135">
          <w:marLeft w:val="0"/>
          <w:marRight w:val="0"/>
          <w:marTop w:val="0"/>
          <w:marBottom w:val="0"/>
          <w:divBdr>
            <w:top w:val="none" w:sz="0" w:space="0" w:color="auto"/>
            <w:left w:val="none" w:sz="0" w:space="0" w:color="auto"/>
            <w:bottom w:val="none" w:sz="0" w:space="0" w:color="auto"/>
            <w:right w:val="none" w:sz="0" w:space="0" w:color="auto"/>
          </w:divBdr>
        </w:div>
        <w:div w:id="970131892">
          <w:marLeft w:val="0"/>
          <w:marRight w:val="0"/>
          <w:marTop w:val="0"/>
          <w:marBottom w:val="0"/>
          <w:divBdr>
            <w:top w:val="none" w:sz="0" w:space="0" w:color="auto"/>
            <w:left w:val="none" w:sz="0" w:space="0" w:color="auto"/>
            <w:bottom w:val="none" w:sz="0" w:space="0" w:color="auto"/>
            <w:right w:val="none" w:sz="0" w:space="0" w:color="auto"/>
          </w:divBdr>
        </w:div>
        <w:div w:id="1030650004">
          <w:marLeft w:val="0"/>
          <w:marRight w:val="0"/>
          <w:marTop w:val="0"/>
          <w:marBottom w:val="0"/>
          <w:divBdr>
            <w:top w:val="none" w:sz="0" w:space="0" w:color="auto"/>
            <w:left w:val="none" w:sz="0" w:space="0" w:color="auto"/>
            <w:bottom w:val="none" w:sz="0" w:space="0" w:color="auto"/>
            <w:right w:val="none" w:sz="0" w:space="0" w:color="auto"/>
          </w:divBdr>
        </w:div>
        <w:div w:id="1091245909">
          <w:marLeft w:val="0"/>
          <w:marRight w:val="0"/>
          <w:marTop w:val="0"/>
          <w:marBottom w:val="0"/>
          <w:divBdr>
            <w:top w:val="none" w:sz="0" w:space="0" w:color="auto"/>
            <w:left w:val="none" w:sz="0" w:space="0" w:color="auto"/>
            <w:bottom w:val="none" w:sz="0" w:space="0" w:color="auto"/>
            <w:right w:val="none" w:sz="0" w:space="0" w:color="auto"/>
          </w:divBdr>
        </w:div>
        <w:div w:id="1127553389">
          <w:marLeft w:val="0"/>
          <w:marRight w:val="0"/>
          <w:marTop w:val="0"/>
          <w:marBottom w:val="0"/>
          <w:divBdr>
            <w:top w:val="none" w:sz="0" w:space="0" w:color="auto"/>
            <w:left w:val="none" w:sz="0" w:space="0" w:color="auto"/>
            <w:bottom w:val="none" w:sz="0" w:space="0" w:color="auto"/>
            <w:right w:val="none" w:sz="0" w:space="0" w:color="auto"/>
          </w:divBdr>
        </w:div>
        <w:div w:id="1169905261">
          <w:marLeft w:val="0"/>
          <w:marRight w:val="0"/>
          <w:marTop w:val="0"/>
          <w:marBottom w:val="0"/>
          <w:divBdr>
            <w:top w:val="none" w:sz="0" w:space="0" w:color="auto"/>
            <w:left w:val="none" w:sz="0" w:space="0" w:color="auto"/>
            <w:bottom w:val="none" w:sz="0" w:space="0" w:color="auto"/>
            <w:right w:val="none" w:sz="0" w:space="0" w:color="auto"/>
          </w:divBdr>
        </w:div>
        <w:div w:id="1185246959">
          <w:marLeft w:val="0"/>
          <w:marRight w:val="0"/>
          <w:marTop w:val="0"/>
          <w:marBottom w:val="0"/>
          <w:divBdr>
            <w:top w:val="none" w:sz="0" w:space="0" w:color="auto"/>
            <w:left w:val="none" w:sz="0" w:space="0" w:color="auto"/>
            <w:bottom w:val="none" w:sz="0" w:space="0" w:color="auto"/>
            <w:right w:val="none" w:sz="0" w:space="0" w:color="auto"/>
          </w:divBdr>
        </w:div>
        <w:div w:id="1264847044">
          <w:marLeft w:val="0"/>
          <w:marRight w:val="0"/>
          <w:marTop w:val="0"/>
          <w:marBottom w:val="0"/>
          <w:divBdr>
            <w:top w:val="none" w:sz="0" w:space="0" w:color="auto"/>
            <w:left w:val="none" w:sz="0" w:space="0" w:color="auto"/>
            <w:bottom w:val="none" w:sz="0" w:space="0" w:color="auto"/>
            <w:right w:val="none" w:sz="0" w:space="0" w:color="auto"/>
          </w:divBdr>
        </w:div>
        <w:div w:id="1363018113">
          <w:marLeft w:val="0"/>
          <w:marRight w:val="0"/>
          <w:marTop w:val="0"/>
          <w:marBottom w:val="0"/>
          <w:divBdr>
            <w:top w:val="none" w:sz="0" w:space="0" w:color="auto"/>
            <w:left w:val="none" w:sz="0" w:space="0" w:color="auto"/>
            <w:bottom w:val="none" w:sz="0" w:space="0" w:color="auto"/>
            <w:right w:val="none" w:sz="0" w:space="0" w:color="auto"/>
          </w:divBdr>
        </w:div>
        <w:div w:id="1376388097">
          <w:marLeft w:val="0"/>
          <w:marRight w:val="0"/>
          <w:marTop w:val="0"/>
          <w:marBottom w:val="0"/>
          <w:divBdr>
            <w:top w:val="none" w:sz="0" w:space="0" w:color="auto"/>
            <w:left w:val="none" w:sz="0" w:space="0" w:color="auto"/>
            <w:bottom w:val="none" w:sz="0" w:space="0" w:color="auto"/>
            <w:right w:val="none" w:sz="0" w:space="0" w:color="auto"/>
          </w:divBdr>
        </w:div>
        <w:div w:id="1395811830">
          <w:marLeft w:val="0"/>
          <w:marRight w:val="0"/>
          <w:marTop w:val="0"/>
          <w:marBottom w:val="0"/>
          <w:divBdr>
            <w:top w:val="none" w:sz="0" w:space="0" w:color="auto"/>
            <w:left w:val="none" w:sz="0" w:space="0" w:color="auto"/>
            <w:bottom w:val="none" w:sz="0" w:space="0" w:color="auto"/>
            <w:right w:val="none" w:sz="0" w:space="0" w:color="auto"/>
          </w:divBdr>
        </w:div>
        <w:div w:id="1595629821">
          <w:marLeft w:val="0"/>
          <w:marRight w:val="0"/>
          <w:marTop w:val="0"/>
          <w:marBottom w:val="0"/>
          <w:divBdr>
            <w:top w:val="none" w:sz="0" w:space="0" w:color="auto"/>
            <w:left w:val="none" w:sz="0" w:space="0" w:color="auto"/>
            <w:bottom w:val="none" w:sz="0" w:space="0" w:color="auto"/>
            <w:right w:val="none" w:sz="0" w:space="0" w:color="auto"/>
          </w:divBdr>
        </w:div>
        <w:div w:id="1678115704">
          <w:marLeft w:val="0"/>
          <w:marRight w:val="0"/>
          <w:marTop w:val="0"/>
          <w:marBottom w:val="0"/>
          <w:divBdr>
            <w:top w:val="none" w:sz="0" w:space="0" w:color="auto"/>
            <w:left w:val="none" w:sz="0" w:space="0" w:color="auto"/>
            <w:bottom w:val="none" w:sz="0" w:space="0" w:color="auto"/>
            <w:right w:val="none" w:sz="0" w:space="0" w:color="auto"/>
          </w:divBdr>
        </w:div>
        <w:div w:id="1681472882">
          <w:marLeft w:val="0"/>
          <w:marRight w:val="0"/>
          <w:marTop w:val="0"/>
          <w:marBottom w:val="0"/>
          <w:divBdr>
            <w:top w:val="none" w:sz="0" w:space="0" w:color="auto"/>
            <w:left w:val="none" w:sz="0" w:space="0" w:color="auto"/>
            <w:bottom w:val="none" w:sz="0" w:space="0" w:color="auto"/>
            <w:right w:val="none" w:sz="0" w:space="0" w:color="auto"/>
          </w:divBdr>
        </w:div>
        <w:div w:id="1704747594">
          <w:marLeft w:val="0"/>
          <w:marRight w:val="0"/>
          <w:marTop w:val="0"/>
          <w:marBottom w:val="0"/>
          <w:divBdr>
            <w:top w:val="none" w:sz="0" w:space="0" w:color="auto"/>
            <w:left w:val="none" w:sz="0" w:space="0" w:color="auto"/>
            <w:bottom w:val="none" w:sz="0" w:space="0" w:color="auto"/>
            <w:right w:val="none" w:sz="0" w:space="0" w:color="auto"/>
          </w:divBdr>
        </w:div>
        <w:div w:id="1722944735">
          <w:marLeft w:val="0"/>
          <w:marRight w:val="0"/>
          <w:marTop w:val="0"/>
          <w:marBottom w:val="0"/>
          <w:divBdr>
            <w:top w:val="none" w:sz="0" w:space="0" w:color="auto"/>
            <w:left w:val="none" w:sz="0" w:space="0" w:color="auto"/>
            <w:bottom w:val="none" w:sz="0" w:space="0" w:color="auto"/>
            <w:right w:val="none" w:sz="0" w:space="0" w:color="auto"/>
          </w:divBdr>
        </w:div>
        <w:div w:id="1752199467">
          <w:marLeft w:val="0"/>
          <w:marRight w:val="0"/>
          <w:marTop w:val="0"/>
          <w:marBottom w:val="0"/>
          <w:divBdr>
            <w:top w:val="none" w:sz="0" w:space="0" w:color="auto"/>
            <w:left w:val="none" w:sz="0" w:space="0" w:color="auto"/>
            <w:bottom w:val="none" w:sz="0" w:space="0" w:color="auto"/>
            <w:right w:val="none" w:sz="0" w:space="0" w:color="auto"/>
          </w:divBdr>
        </w:div>
        <w:div w:id="1775901929">
          <w:marLeft w:val="0"/>
          <w:marRight w:val="0"/>
          <w:marTop w:val="0"/>
          <w:marBottom w:val="0"/>
          <w:divBdr>
            <w:top w:val="none" w:sz="0" w:space="0" w:color="auto"/>
            <w:left w:val="none" w:sz="0" w:space="0" w:color="auto"/>
            <w:bottom w:val="none" w:sz="0" w:space="0" w:color="auto"/>
            <w:right w:val="none" w:sz="0" w:space="0" w:color="auto"/>
          </w:divBdr>
        </w:div>
        <w:div w:id="1820878702">
          <w:marLeft w:val="0"/>
          <w:marRight w:val="0"/>
          <w:marTop w:val="0"/>
          <w:marBottom w:val="0"/>
          <w:divBdr>
            <w:top w:val="none" w:sz="0" w:space="0" w:color="auto"/>
            <w:left w:val="none" w:sz="0" w:space="0" w:color="auto"/>
            <w:bottom w:val="none" w:sz="0" w:space="0" w:color="auto"/>
            <w:right w:val="none" w:sz="0" w:space="0" w:color="auto"/>
          </w:divBdr>
        </w:div>
        <w:div w:id="1862355971">
          <w:marLeft w:val="0"/>
          <w:marRight w:val="0"/>
          <w:marTop w:val="0"/>
          <w:marBottom w:val="0"/>
          <w:divBdr>
            <w:top w:val="none" w:sz="0" w:space="0" w:color="auto"/>
            <w:left w:val="none" w:sz="0" w:space="0" w:color="auto"/>
            <w:bottom w:val="none" w:sz="0" w:space="0" w:color="auto"/>
            <w:right w:val="none" w:sz="0" w:space="0" w:color="auto"/>
          </w:divBdr>
        </w:div>
        <w:div w:id="1878469955">
          <w:marLeft w:val="0"/>
          <w:marRight w:val="0"/>
          <w:marTop w:val="0"/>
          <w:marBottom w:val="0"/>
          <w:divBdr>
            <w:top w:val="none" w:sz="0" w:space="0" w:color="auto"/>
            <w:left w:val="none" w:sz="0" w:space="0" w:color="auto"/>
            <w:bottom w:val="none" w:sz="0" w:space="0" w:color="auto"/>
            <w:right w:val="none" w:sz="0" w:space="0" w:color="auto"/>
          </w:divBdr>
        </w:div>
        <w:div w:id="1917088486">
          <w:marLeft w:val="0"/>
          <w:marRight w:val="0"/>
          <w:marTop w:val="0"/>
          <w:marBottom w:val="0"/>
          <w:divBdr>
            <w:top w:val="none" w:sz="0" w:space="0" w:color="auto"/>
            <w:left w:val="none" w:sz="0" w:space="0" w:color="auto"/>
            <w:bottom w:val="none" w:sz="0" w:space="0" w:color="auto"/>
            <w:right w:val="none" w:sz="0" w:space="0" w:color="auto"/>
          </w:divBdr>
        </w:div>
        <w:div w:id="1979723474">
          <w:marLeft w:val="0"/>
          <w:marRight w:val="0"/>
          <w:marTop w:val="0"/>
          <w:marBottom w:val="0"/>
          <w:divBdr>
            <w:top w:val="none" w:sz="0" w:space="0" w:color="auto"/>
            <w:left w:val="none" w:sz="0" w:space="0" w:color="auto"/>
            <w:bottom w:val="none" w:sz="0" w:space="0" w:color="auto"/>
            <w:right w:val="none" w:sz="0" w:space="0" w:color="auto"/>
          </w:divBdr>
        </w:div>
        <w:div w:id="2012293956">
          <w:marLeft w:val="0"/>
          <w:marRight w:val="0"/>
          <w:marTop w:val="0"/>
          <w:marBottom w:val="0"/>
          <w:divBdr>
            <w:top w:val="none" w:sz="0" w:space="0" w:color="auto"/>
            <w:left w:val="none" w:sz="0" w:space="0" w:color="auto"/>
            <w:bottom w:val="none" w:sz="0" w:space="0" w:color="auto"/>
            <w:right w:val="none" w:sz="0" w:space="0" w:color="auto"/>
          </w:divBdr>
        </w:div>
        <w:div w:id="2016954310">
          <w:marLeft w:val="0"/>
          <w:marRight w:val="0"/>
          <w:marTop w:val="0"/>
          <w:marBottom w:val="0"/>
          <w:divBdr>
            <w:top w:val="none" w:sz="0" w:space="0" w:color="auto"/>
            <w:left w:val="none" w:sz="0" w:space="0" w:color="auto"/>
            <w:bottom w:val="none" w:sz="0" w:space="0" w:color="auto"/>
            <w:right w:val="none" w:sz="0" w:space="0" w:color="auto"/>
          </w:divBdr>
        </w:div>
        <w:div w:id="2098818272">
          <w:marLeft w:val="0"/>
          <w:marRight w:val="0"/>
          <w:marTop w:val="0"/>
          <w:marBottom w:val="0"/>
          <w:divBdr>
            <w:top w:val="none" w:sz="0" w:space="0" w:color="auto"/>
            <w:left w:val="none" w:sz="0" w:space="0" w:color="auto"/>
            <w:bottom w:val="none" w:sz="0" w:space="0" w:color="auto"/>
            <w:right w:val="none" w:sz="0" w:space="0" w:color="auto"/>
          </w:divBdr>
        </w:div>
      </w:divsChild>
    </w:div>
    <w:div w:id="1526821547">
      <w:bodyDiv w:val="1"/>
      <w:marLeft w:val="0"/>
      <w:marRight w:val="0"/>
      <w:marTop w:val="0"/>
      <w:marBottom w:val="0"/>
      <w:divBdr>
        <w:top w:val="none" w:sz="0" w:space="0" w:color="auto"/>
        <w:left w:val="none" w:sz="0" w:space="0" w:color="auto"/>
        <w:bottom w:val="none" w:sz="0" w:space="0" w:color="auto"/>
        <w:right w:val="none" w:sz="0" w:space="0" w:color="auto"/>
      </w:divBdr>
      <w:divsChild>
        <w:div w:id="1288438176">
          <w:marLeft w:val="0"/>
          <w:marRight w:val="0"/>
          <w:marTop w:val="0"/>
          <w:marBottom w:val="0"/>
          <w:divBdr>
            <w:top w:val="none" w:sz="0" w:space="0" w:color="auto"/>
            <w:left w:val="none" w:sz="0" w:space="0" w:color="auto"/>
            <w:bottom w:val="none" w:sz="0" w:space="0" w:color="auto"/>
            <w:right w:val="none" w:sz="0" w:space="0" w:color="auto"/>
          </w:divBdr>
          <w:divsChild>
            <w:div w:id="1283808535">
              <w:marLeft w:val="0"/>
              <w:marRight w:val="0"/>
              <w:marTop w:val="0"/>
              <w:marBottom w:val="0"/>
              <w:divBdr>
                <w:top w:val="none" w:sz="0" w:space="0" w:color="auto"/>
                <w:left w:val="none" w:sz="0" w:space="0" w:color="auto"/>
                <w:bottom w:val="none" w:sz="0" w:space="0" w:color="auto"/>
                <w:right w:val="none" w:sz="0" w:space="0" w:color="auto"/>
              </w:divBdr>
              <w:divsChild>
                <w:div w:id="58410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3785881">
      <w:bodyDiv w:val="1"/>
      <w:marLeft w:val="0"/>
      <w:marRight w:val="0"/>
      <w:marTop w:val="0"/>
      <w:marBottom w:val="0"/>
      <w:divBdr>
        <w:top w:val="none" w:sz="0" w:space="0" w:color="auto"/>
        <w:left w:val="none" w:sz="0" w:space="0" w:color="auto"/>
        <w:bottom w:val="none" w:sz="0" w:space="0" w:color="auto"/>
        <w:right w:val="none" w:sz="0" w:space="0" w:color="auto"/>
      </w:divBdr>
      <w:divsChild>
        <w:div w:id="15350626">
          <w:marLeft w:val="0"/>
          <w:marRight w:val="0"/>
          <w:marTop w:val="0"/>
          <w:marBottom w:val="0"/>
          <w:divBdr>
            <w:top w:val="none" w:sz="0" w:space="0" w:color="auto"/>
            <w:left w:val="none" w:sz="0" w:space="0" w:color="auto"/>
            <w:bottom w:val="none" w:sz="0" w:space="0" w:color="auto"/>
            <w:right w:val="none" w:sz="0" w:space="0" w:color="auto"/>
          </w:divBdr>
        </w:div>
        <w:div w:id="32967654">
          <w:marLeft w:val="0"/>
          <w:marRight w:val="0"/>
          <w:marTop w:val="0"/>
          <w:marBottom w:val="0"/>
          <w:divBdr>
            <w:top w:val="none" w:sz="0" w:space="0" w:color="auto"/>
            <w:left w:val="none" w:sz="0" w:space="0" w:color="auto"/>
            <w:bottom w:val="none" w:sz="0" w:space="0" w:color="auto"/>
            <w:right w:val="none" w:sz="0" w:space="0" w:color="auto"/>
          </w:divBdr>
        </w:div>
        <w:div w:id="53284030">
          <w:marLeft w:val="0"/>
          <w:marRight w:val="0"/>
          <w:marTop w:val="0"/>
          <w:marBottom w:val="0"/>
          <w:divBdr>
            <w:top w:val="none" w:sz="0" w:space="0" w:color="auto"/>
            <w:left w:val="none" w:sz="0" w:space="0" w:color="auto"/>
            <w:bottom w:val="none" w:sz="0" w:space="0" w:color="auto"/>
            <w:right w:val="none" w:sz="0" w:space="0" w:color="auto"/>
          </w:divBdr>
        </w:div>
        <w:div w:id="57367281">
          <w:marLeft w:val="0"/>
          <w:marRight w:val="0"/>
          <w:marTop w:val="0"/>
          <w:marBottom w:val="0"/>
          <w:divBdr>
            <w:top w:val="none" w:sz="0" w:space="0" w:color="auto"/>
            <w:left w:val="none" w:sz="0" w:space="0" w:color="auto"/>
            <w:bottom w:val="none" w:sz="0" w:space="0" w:color="auto"/>
            <w:right w:val="none" w:sz="0" w:space="0" w:color="auto"/>
          </w:divBdr>
        </w:div>
        <w:div w:id="223875853">
          <w:marLeft w:val="0"/>
          <w:marRight w:val="0"/>
          <w:marTop w:val="0"/>
          <w:marBottom w:val="0"/>
          <w:divBdr>
            <w:top w:val="none" w:sz="0" w:space="0" w:color="auto"/>
            <w:left w:val="none" w:sz="0" w:space="0" w:color="auto"/>
            <w:bottom w:val="none" w:sz="0" w:space="0" w:color="auto"/>
            <w:right w:val="none" w:sz="0" w:space="0" w:color="auto"/>
          </w:divBdr>
        </w:div>
        <w:div w:id="249435031">
          <w:marLeft w:val="0"/>
          <w:marRight w:val="0"/>
          <w:marTop w:val="0"/>
          <w:marBottom w:val="0"/>
          <w:divBdr>
            <w:top w:val="none" w:sz="0" w:space="0" w:color="auto"/>
            <w:left w:val="none" w:sz="0" w:space="0" w:color="auto"/>
            <w:bottom w:val="none" w:sz="0" w:space="0" w:color="auto"/>
            <w:right w:val="none" w:sz="0" w:space="0" w:color="auto"/>
          </w:divBdr>
        </w:div>
        <w:div w:id="364595943">
          <w:marLeft w:val="0"/>
          <w:marRight w:val="0"/>
          <w:marTop w:val="0"/>
          <w:marBottom w:val="0"/>
          <w:divBdr>
            <w:top w:val="none" w:sz="0" w:space="0" w:color="auto"/>
            <w:left w:val="none" w:sz="0" w:space="0" w:color="auto"/>
            <w:bottom w:val="none" w:sz="0" w:space="0" w:color="auto"/>
            <w:right w:val="none" w:sz="0" w:space="0" w:color="auto"/>
          </w:divBdr>
        </w:div>
        <w:div w:id="424613275">
          <w:marLeft w:val="0"/>
          <w:marRight w:val="0"/>
          <w:marTop w:val="0"/>
          <w:marBottom w:val="0"/>
          <w:divBdr>
            <w:top w:val="none" w:sz="0" w:space="0" w:color="auto"/>
            <w:left w:val="none" w:sz="0" w:space="0" w:color="auto"/>
            <w:bottom w:val="none" w:sz="0" w:space="0" w:color="auto"/>
            <w:right w:val="none" w:sz="0" w:space="0" w:color="auto"/>
          </w:divBdr>
        </w:div>
        <w:div w:id="520437450">
          <w:marLeft w:val="0"/>
          <w:marRight w:val="0"/>
          <w:marTop w:val="0"/>
          <w:marBottom w:val="0"/>
          <w:divBdr>
            <w:top w:val="none" w:sz="0" w:space="0" w:color="auto"/>
            <w:left w:val="none" w:sz="0" w:space="0" w:color="auto"/>
            <w:bottom w:val="none" w:sz="0" w:space="0" w:color="auto"/>
            <w:right w:val="none" w:sz="0" w:space="0" w:color="auto"/>
          </w:divBdr>
        </w:div>
        <w:div w:id="567110181">
          <w:marLeft w:val="0"/>
          <w:marRight w:val="0"/>
          <w:marTop w:val="0"/>
          <w:marBottom w:val="0"/>
          <w:divBdr>
            <w:top w:val="none" w:sz="0" w:space="0" w:color="auto"/>
            <w:left w:val="none" w:sz="0" w:space="0" w:color="auto"/>
            <w:bottom w:val="none" w:sz="0" w:space="0" w:color="auto"/>
            <w:right w:val="none" w:sz="0" w:space="0" w:color="auto"/>
          </w:divBdr>
        </w:div>
        <w:div w:id="583564056">
          <w:marLeft w:val="0"/>
          <w:marRight w:val="0"/>
          <w:marTop w:val="0"/>
          <w:marBottom w:val="0"/>
          <w:divBdr>
            <w:top w:val="none" w:sz="0" w:space="0" w:color="auto"/>
            <w:left w:val="none" w:sz="0" w:space="0" w:color="auto"/>
            <w:bottom w:val="none" w:sz="0" w:space="0" w:color="auto"/>
            <w:right w:val="none" w:sz="0" w:space="0" w:color="auto"/>
          </w:divBdr>
        </w:div>
        <w:div w:id="662927964">
          <w:marLeft w:val="0"/>
          <w:marRight w:val="0"/>
          <w:marTop w:val="0"/>
          <w:marBottom w:val="0"/>
          <w:divBdr>
            <w:top w:val="none" w:sz="0" w:space="0" w:color="auto"/>
            <w:left w:val="none" w:sz="0" w:space="0" w:color="auto"/>
            <w:bottom w:val="none" w:sz="0" w:space="0" w:color="auto"/>
            <w:right w:val="none" w:sz="0" w:space="0" w:color="auto"/>
          </w:divBdr>
        </w:div>
        <w:div w:id="687872395">
          <w:marLeft w:val="0"/>
          <w:marRight w:val="0"/>
          <w:marTop w:val="0"/>
          <w:marBottom w:val="0"/>
          <w:divBdr>
            <w:top w:val="none" w:sz="0" w:space="0" w:color="auto"/>
            <w:left w:val="none" w:sz="0" w:space="0" w:color="auto"/>
            <w:bottom w:val="none" w:sz="0" w:space="0" w:color="auto"/>
            <w:right w:val="none" w:sz="0" w:space="0" w:color="auto"/>
          </w:divBdr>
        </w:div>
        <w:div w:id="734203183">
          <w:marLeft w:val="0"/>
          <w:marRight w:val="0"/>
          <w:marTop w:val="0"/>
          <w:marBottom w:val="0"/>
          <w:divBdr>
            <w:top w:val="none" w:sz="0" w:space="0" w:color="auto"/>
            <w:left w:val="none" w:sz="0" w:space="0" w:color="auto"/>
            <w:bottom w:val="none" w:sz="0" w:space="0" w:color="auto"/>
            <w:right w:val="none" w:sz="0" w:space="0" w:color="auto"/>
          </w:divBdr>
        </w:div>
        <w:div w:id="748579675">
          <w:marLeft w:val="0"/>
          <w:marRight w:val="0"/>
          <w:marTop w:val="0"/>
          <w:marBottom w:val="0"/>
          <w:divBdr>
            <w:top w:val="none" w:sz="0" w:space="0" w:color="auto"/>
            <w:left w:val="none" w:sz="0" w:space="0" w:color="auto"/>
            <w:bottom w:val="none" w:sz="0" w:space="0" w:color="auto"/>
            <w:right w:val="none" w:sz="0" w:space="0" w:color="auto"/>
          </w:divBdr>
        </w:div>
        <w:div w:id="820117567">
          <w:marLeft w:val="0"/>
          <w:marRight w:val="0"/>
          <w:marTop w:val="0"/>
          <w:marBottom w:val="0"/>
          <w:divBdr>
            <w:top w:val="none" w:sz="0" w:space="0" w:color="auto"/>
            <w:left w:val="none" w:sz="0" w:space="0" w:color="auto"/>
            <w:bottom w:val="none" w:sz="0" w:space="0" w:color="auto"/>
            <w:right w:val="none" w:sz="0" w:space="0" w:color="auto"/>
          </w:divBdr>
        </w:div>
        <w:div w:id="930351784">
          <w:marLeft w:val="0"/>
          <w:marRight w:val="0"/>
          <w:marTop w:val="0"/>
          <w:marBottom w:val="0"/>
          <w:divBdr>
            <w:top w:val="none" w:sz="0" w:space="0" w:color="auto"/>
            <w:left w:val="none" w:sz="0" w:space="0" w:color="auto"/>
            <w:bottom w:val="none" w:sz="0" w:space="0" w:color="auto"/>
            <w:right w:val="none" w:sz="0" w:space="0" w:color="auto"/>
          </w:divBdr>
        </w:div>
        <w:div w:id="1002779290">
          <w:marLeft w:val="0"/>
          <w:marRight w:val="0"/>
          <w:marTop w:val="0"/>
          <w:marBottom w:val="0"/>
          <w:divBdr>
            <w:top w:val="none" w:sz="0" w:space="0" w:color="auto"/>
            <w:left w:val="none" w:sz="0" w:space="0" w:color="auto"/>
            <w:bottom w:val="none" w:sz="0" w:space="0" w:color="auto"/>
            <w:right w:val="none" w:sz="0" w:space="0" w:color="auto"/>
          </w:divBdr>
        </w:div>
        <w:div w:id="1084456440">
          <w:marLeft w:val="0"/>
          <w:marRight w:val="0"/>
          <w:marTop w:val="0"/>
          <w:marBottom w:val="0"/>
          <w:divBdr>
            <w:top w:val="none" w:sz="0" w:space="0" w:color="auto"/>
            <w:left w:val="none" w:sz="0" w:space="0" w:color="auto"/>
            <w:bottom w:val="none" w:sz="0" w:space="0" w:color="auto"/>
            <w:right w:val="none" w:sz="0" w:space="0" w:color="auto"/>
          </w:divBdr>
        </w:div>
        <w:div w:id="1096947967">
          <w:marLeft w:val="0"/>
          <w:marRight w:val="0"/>
          <w:marTop w:val="0"/>
          <w:marBottom w:val="0"/>
          <w:divBdr>
            <w:top w:val="none" w:sz="0" w:space="0" w:color="auto"/>
            <w:left w:val="none" w:sz="0" w:space="0" w:color="auto"/>
            <w:bottom w:val="none" w:sz="0" w:space="0" w:color="auto"/>
            <w:right w:val="none" w:sz="0" w:space="0" w:color="auto"/>
          </w:divBdr>
        </w:div>
        <w:div w:id="1117479904">
          <w:marLeft w:val="0"/>
          <w:marRight w:val="0"/>
          <w:marTop w:val="0"/>
          <w:marBottom w:val="0"/>
          <w:divBdr>
            <w:top w:val="none" w:sz="0" w:space="0" w:color="auto"/>
            <w:left w:val="none" w:sz="0" w:space="0" w:color="auto"/>
            <w:bottom w:val="none" w:sz="0" w:space="0" w:color="auto"/>
            <w:right w:val="none" w:sz="0" w:space="0" w:color="auto"/>
          </w:divBdr>
        </w:div>
        <w:div w:id="1121194904">
          <w:marLeft w:val="0"/>
          <w:marRight w:val="0"/>
          <w:marTop w:val="0"/>
          <w:marBottom w:val="0"/>
          <w:divBdr>
            <w:top w:val="none" w:sz="0" w:space="0" w:color="auto"/>
            <w:left w:val="none" w:sz="0" w:space="0" w:color="auto"/>
            <w:bottom w:val="none" w:sz="0" w:space="0" w:color="auto"/>
            <w:right w:val="none" w:sz="0" w:space="0" w:color="auto"/>
          </w:divBdr>
        </w:div>
        <w:div w:id="1228954857">
          <w:marLeft w:val="0"/>
          <w:marRight w:val="0"/>
          <w:marTop w:val="0"/>
          <w:marBottom w:val="0"/>
          <w:divBdr>
            <w:top w:val="none" w:sz="0" w:space="0" w:color="auto"/>
            <w:left w:val="none" w:sz="0" w:space="0" w:color="auto"/>
            <w:bottom w:val="none" w:sz="0" w:space="0" w:color="auto"/>
            <w:right w:val="none" w:sz="0" w:space="0" w:color="auto"/>
          </w:divBdr>
        </w:div>
        <w:div w:id="1238174050">
          <w:marLeft w:val="0"/>
          <w:marRight w:val="0"/>
          <w:marTop w:val="0"/>
          <w:marBottom w:val="0"/>
          <w:divBdr>
            <w:top w:val="none" w:sz="0" w:space="0" w:color="auto"/>
            <w:left w:val="none" w:sz="0" w:space="0" w:color="auto"/>
            <w:bottom w:val="none" w:sz="0" w:space="0" w:color="auto"/>
            <w:right w:val="none" w:sz="0" w:space="0" w:color="auto"/>
          </w:divBdr>
        </w:div>
        <w:div w:id="1312783442">
          <w:marLeft w:val="0"/>
          <w:marRight w:val="0"/>
          <w:marTop w:val="0"/>
          <w:marBottom w:val="0"/>
          <w:divBdr>
            <w:top w:val="none" w:sz="0" w:space="0" w:color="auto"/>
            <w:left w:val="none" w:sz="0" w:space="0" w:color="auto"/>
            <w:bottom w:val="none" w:sz="0" w:space="0" w:color="auto"/>
            <w:right w:val="none" w:sz="0" w:space="0" w:color="auto"/>
          </w:divBdr>
        </w:div>
        <w:div w:id="1335914100">
          <w:marLeft w:val="0"/>
          <w:marRight w:val="0"/>
          <w:marTop w:val="0"/>
          <w:marBottom w:val="0"/>
          <w:divBdr>
            <w:top w:val="none" w:sz="0" w:space="0" w:color="auto"/>
            <w:left w:val="none" w:sz="0" w:space="0" w:color="auto"/>
            <w:bottom w:val="none" w:sz="0" w:space="0" w:color="auto"/>
            <w:right w:val="none" w:sz="0" w:space="0" w:color="auto"/>
          </w:divBdr>
        </w:div>
        <w:div w:id="1348214876">
          <w:marLeft w:val="0"/>
          <w:marRight w:val="0"/>
          <w:marTop w:val="0"/>
          <w:marBottom w:val="0"/>
          <w:divBdr>
            <w:top w:val="none" w:sz="0" w:space="0" w:color="auto"/>
            <w:left w:val="none" w:sz="0" w:space="0" w:color="auto"/>
            <w:bottom w:val="none" w:sz="0" w:space="0" w:color="auto"/>
            <w:right w:val="none" w:sz="0" w:space="0" w:color="auto"/>
          </w:divBdr>
        </w:div>
        <w:div w:id="1359549574">
          <w:marLeft w:val="0"/>
          <w:marRight w:val="0"/>
          <w:marTop w:val="0"/>
          <w:marBottom w:val="0"/>
          <w:divBdr>
            <w:top w:val="none" w:sz="0" w:space="0" w:color="auto"/>
            <w:left w:val="none" w:sz="0" w:space="0" w:color="auto"/>
            <w:bottom w:val="none" w:sz="0" w:space="0" w:color="auto"/>
            <w:right w:val="none" w:sz="0" w:space="0" w:color="auto"/>
          </w:divBdr>
        </w:div>
        <w:div w:id="1374496092">
          <w:marLeft w:val="0"/>
          <w:marRight w:val="0"/>
          <w:marTop w:val="0"/>
          <w:marBottom w:val="0"/>
          <w:divBdr>
            <w:top w:val="none" w:sz="0" w:space="0" w:color="auto"/>
            <w:left w:val="none" w:sz="0" w:space="0" w:color="auto"/>
            <w:bottom w:val="none" w:sz="0" w:space="0" w:color="auto"/>
            <w:right w:val="none" w:sz="0" w:space="0" w:color="auto"/>
          </w:divBdr>
        </w:div>
        <w:div w:id="1377507952">
          <w:marLeft w:val="0"/>
          <w:marRight w:val="0"/>
          <w:marTop w:val="0"/>
          <w:marBottom w:val="0"/>
          <w:divBdr>
            <w:top w:val="none" w:sz="0" w:space="0" w:color="auto"/>
            <w:left w:val="none" w:sz="0" w:space="0" w:color="auto"/>
            <w:bottom w:val="none" w:sz="0" w:space="0" w:color="auto"/>
            <w:right w:val="none" w:sz="0" w:space="0" w:color="auto"/>
          </w:divBdr>
        </w:div>
        <w:div w:id="1625429825">
          <w:marLeft w:val="0"/>
          <w:marRight w:val="0"/>
          <w:marTop w:val="0"/>
          <w:marBottom w:val="0"/>
          <w:divBdr>
            <w:top w:val="none" w:sz="0" w:space="0" w:color="auto"/>
            <w:left w:val="none" w:sz="0" w:space="0" w:color="auto"/>
            <w:bottom w:val="none" w:sz="0" w:space="0" w:color="auto"/>
            <w:right w:val="none" w:sz="0" w:space="0" w:color="auto"/>
          </w:divBdr>
        </w:div>
        <w:div w:id="1626698961">
          <w:marLeft w:val="0"/>
          <w:marRight w:val="0"/>
          <w:marTop w:val="0"/>
          <w:marBottom w:val="0"/>
          <w:divBdr>
            <w:top w:val="none" w:sz="0" w:space="0" w:color="auto"/>
            <w:left w:val="none" w:sz="0" w:space="0" w:color="auto"/>
            <w:bottom w:val="none" w:sz="0" w:space="0" w:color="auto"/>
            <w:right w:val="none" w:sz="0" w:space="0" w:color="auto"/>
          </w:divBdr>
        </w:div>
        <w:div w:id="1658219804">
          <w:marLeft w:val="0"/>
          <w:marRight w:val="0"/>
          <w:marTop w:val="0"/>
          <w:marBottom w:val="0"/>
          <w:divBdr>
            <w:top w:val="none" w:sz="0" w:space="0" w:color="auto"/>
            <w:left w:val="none" w:sz="0" w:space="0" w:color="auto"/>
            <w:bottom w:val="none" w:sz="0" w:space="0" w:color="auto"/>
            <w:right w:val="none" w:sz="0" w:space="0" w:color="auto"/>
          </w:divBdr>
        </w:div>
        <w:div w:id="1731997072">
          <w:marLeft w:val="0"/>
          <w:marRight w:val="0"/>
          <w:marTop w:val="0"/>
          <w:marBottom w:val="0"/>
          <w:divBdr>
            <w:top w:val="none" w:sz="0" w:space="0" w:color="auto"/>
            <w:left w:val="none" w:sz="0" w:space="0" w:color="auto"/>
            <w:bottom w:val="none" w:sz="0" w:space="0" w:color="auto"/>
            <w:right w:val="none" w:sz="0" w:space="0" w:color="auto"/>
          </w:divBdr>
        </w:div>
        <w:div w:id="1745447938">
          <w:marLeft w:val="0"/>
          <w:marRight w:val="0"/>
          <w:marTop w:val="0"/>
          <w:marBottom w:val="0"/>
          <w:divBdr>
            <w:top w:val="none" w:sz="0" w:space="0" w:color="auto"/>
            <w:left w:val="none" w:sz="0" w:space="0" w:color="auto"/>
            <w:bottom w:val="none" w:sz="0" w:space="0" w:color="auto"/>
            <w:right w:val="none" w:sz="0" w:space="0" w:color="auto"/>
          </w:divBdr>
        </w:div>
        <w:div w:id="1748574713">
          <w:marLeft w:val="0"/>
          <w:marRight w:val="0"/>
          <w:marTop w:val="0"/>
          <w:marBottom w:val="0"/>
          <w:divBdr>
            <w:top w:val="none" w:sz="0" w:space="0" w:color="auto"/>
            <w:left w:val="none" w:sz="0" w:space="0" w:color="auto"/>
            <w:bottom w:val="none" w:sz="0" w:space="0" w:color="auto"/>
            <w:right w:val="none" w:sz="0" w:space="0" w:color="auto"/>
          </w:divBdr>
        </w:div>
        <w:div w:id="1753624007">
          <w:marLeft w:val="0"/>
          <w:marRight w:val="0"/>
          <w:marTop w:val="0"/>
          <w:marBottom w:val="0"/>
          <w:divBdr>
            <w:top w:val="none" w:sz="0" w:space="0" w:color="auto"/>
            <w:left w:val="none" w:sz="0" w:space="0" w:color="auto"/>
            <w:bottom w:val="none" w:sz="0" w:space="0" w:color="auto"/>
            <w:right w:val="none" w:sz="0" w:space="0" w:color="auto"/>
          </w:divBdr>
        </w:div>
        <w:div w:id="1810895458">
          <w:marLeft w:val="0"/>
          <w:marRight w:val="0"/>
          <w:marTop w:val="0"/>
          <w:marBottom w:val="0"/>
          <w:divBdr>
            <w:top w:val="none" w:sz="0" w:space="0" w:color="auto"/>
            <w:left w:val="none" w:sz="0" w:space="0" w:color="auto"/>
            <w:bottom w:val="none" w:sz="0" w:space="0" w:color="auto"/>
            <w:right w:val="none" w:sz="0" w:space="0" w:color="auto"/>
          </w:divBdr>
        </w:div>
        <w:div w:id="1846477983">
          <w:marLeft w:val="0"/>
          <w:marRight w:val="0"/>
          <w:marTop w:val="0"/>
          <w:marBottom w:val="0"/>
          <w:divBdr>
            <w:top w:val="none" w:sz="0" w:space="0" w:color="auto"/>
            <w:left w:val="none" w:sz="0" w:space="0" w:color="auto"/>
            <w:bottom w:val="none" w:sz="0" w:space="0" w:color="auto"/>
            <w:right w:val="none" w:sz="0" w:space="0" w:color="auto"/>
          </w:divBdr>
        </w:div>
        <w:div w:id="1871530970">
          <w:marLeft w:val="0"/>
          <w:marRight w:val="0"/>
          <w:marTop w:val="0"/>
          <w:marBottom w:val="0"/>
          <w:divBdr>
            <w:top w:val="none" w:sz="0" w:space="0" w:color="auto"/>
            <w:left w:val="none" w:sz="0" w:space="0" w:color="auto"/>
            <w:bottom w:val="none" w:sz="0" w:space="0" w:color="auto"/>
            <w:right w:val="none" w:sz="0" w:space="0" w:color="auto"/>
          </w:divBdr>
        </w:div>
        <w:div w:id="1895190958">
          <w:marLeft w:val="0"/>
          <w:marRight w:val="0"/>
          <w:marTop w:val="0"/>
          <w:marBottom w:val="0"/>
          <w:divBdr>
            <w:top w:val="none" w:sz="0" w:space="0" w:color="auto"/>
            <w:left w:val="none" w:sz="0" w:space="0" w:color="auto"/>
            <w:bottom w:val="none" w:sz="0" w:space="0" w:color="auto"/>
            <w:right w:val="none" w:sz="0" w:space="0" w:color="auto"/>
          </w:divBdr>
        </w:div>
        <w:div w:id="1969120233">
          <w:marLeft w:val="0"/>
          <w:marRight w:val="0"/>
          <w:marTop w:val="0"/>
          <w:marBottom w:val="0"/>
          <w:divBdr>
            <w:top w:val="none" w:sz="0" w:space="0" w:color="auto"/>
            <w:left w:val="none" w:sz="0" w:space="0" w:color="auto"/>
            <w:bottom w:val="none" w:sz="0" w:space="0" w:color="auto"/>
            <w:right w:val="none" w:sz="0" w:space="0" w:color="auto"/>
          </w:divBdr>
        </w:div>
        <w:div w:id="1980067453">
          <w:marLeft w:val="0"/>
          <w:marRight w:val="0"/>
          <w:marTop w:val="0"/>
          <w:marBottom w:val="0"/>
          <w:divBdr>
            <w:top w:val="none" w:sz="0" w:space="0" w:color="auto"/>
            <w:left w:val="none" w:sz="0" w:space="0" w:color="auto"/>
            <w:bottom w:val="none" w:sz="0" w:space="0" w:color="auto"/>
            <w:right w:val="none" w:sz="0" w:space="0" w:color="auto"/>
          </w:divBdr>
        </w:div>
        <w:div w:id="1991327073">
          <w:marLeft w:val="0"/>
          <w:marRight w:val="0"/>
          <w:marTop w:val="0"/>
          <w:marBottom w:val="0"/>
          <w:divBdr>
            <w:top w:val="none" w:sz="0" w:space="0" w:color="auto"/>
            <w:left w:val="none" w:sz="0" w:space="0" w:color="auto"/>
            <w:bottom w:val="none" w:sz="0" w:space="0" w:color="auto"/>
            <w:right w:val="none" w:sz="0" w:space="0" w:color="auto"/>
          </w:divBdr>
        </w:div>
        <w:div w:id="2005667423">
          <w:marLeft w:val="0"/>
          <w:marRight w:val="0"/>
          <w:marTop w:val="0"/>
          <w:marBottom w:val="0"/>
          <w:divBdr>
            <w:top w:val="none" w:sz="0" w:space="0" w:color="auto"/>
            <w:left w:val="none" w:sz="0" w:space="0" w:color="auto"/>
            <w:bottom w:val="none" w:sz="0" w:space="0" w:color="auto"/>
            <w:right w:val="none" w:sz="0" w:space="0" w:color="auto"/>
          </w:divBdr>
        </w:div>
        <w:div w:id="2123837564">
          <w:marLeft w:val="0"/>
          <w:marRight w:val="0"/>
          <w:marTop w:val="0"/>
          <w:marBottom w:val="0"/>
          <w:divBdr>
            <w:top w:val="none" w:sz="0" w:space="0" w:color="auto"/>
            <w:left w:val="none" w:sz="0" w:space="0" w:color="auto"/>
            <w:bottom w:val="none" w:sz="0" w:space="0" w:color="auto"/>
            <w:right w:val="none" w:sz="0" w:space="0" w:color="auto"/>
          </w:divBdr>
        </w:div>
      </w:divsChild>
    </w:div>
    <w:div w:id="1546480418">
      <w:bodyDiv w:val="1"/>
      <w:marLeft w:val="0"/>
      <w:marRight w:val="0"/>
      <w:marTop w:val="0"/>
      <w:marBottom w:val="0"/>
      <w:divBdr>
        <w:top w:val="none" w:sz="0" w:space="0" w:color="auto"/>
        <w:left w:val="none" w:sz="0" w:space="0" w:color="auto"/>
        <w:bottom w:val="none" w:sz="0" w:space="0" w:color="auto"/>
        <w:right w:val="none" w:sz="0" w:space="0" w:color="auto"/>
      </w:divBdr>
      <w:divsChild>
        <w:div w:id="642662727">
          <w:marLeft w:val="0"/>
          <w:marRight w:val="0"/>
          <w:marTop w:val="0"/>
          <w:marBottom w:val="0"/>
          <w:divBdr>
            <w:top w:val="none" w:sz="0" w:space="0" w:color="auto"/>
            <w:left w:val="none" w:sz="0" w:space="0" w:color="auto"/>
            <w:bottom w:val="none" w:sz="0" w:space="0" w:color="auto"/>
            <w:right w:val="none" w:sz="0" w:space="0" w:color="auto"/>
          </w:divBdr>
        </w:div>
      </w:divsChild>
    </w:div>
    <w:div w:id="1549805528">
      <w:bodyDiv w:val="1"/>
      <w:marLeft w:val="0"/>
      <w:marRight w:val="0"/>
      <w:marTop w:val="0"/>
      <w:marBottom w:val="0"/>
      <w:divBdr>
        <w:top w:val="none" w:sz="0" w:space="0" w:color="auto"/>
        <w:left w:val="none" w:sz="0" w:space="0" w:color="auto"/>
        <w:bottom w:val="none" w:sz="0" w:space="0" w:color="auto"/>
        <w:right w:val="none" w:sz="0" w:space="0" w:color="auto"/>
      </w:divBdr>
      <w:divsChild>
        <w:div w:id="397292049">
          <w:marLeft w:val="0"/>
          <w:marRight w:val="0"/>
          <w:marTop w:val="0"/>
          <w:marBottom w:val="0"/>
          <w:divBdr>
            <w:top w:val="none" w:sz="0" w:space="0" w:color="auto"/>
            <w:left w:val="none" w:sz="0" w:space="0" w:color="auto"/>
            <w:bottom w:val="none" w:sz="0" w:space="0" w:color="auto"/>
            <w:right w:val="none" w:sz="0" w:space="0" w:color="auto"/>
          </w:divBdr>
        </w:div>
      </w:divsChild>
    </w:div>
    <w:div w:id="1550801502">
      <w:bodyDiv w:val="1"/>
      <w:marLeft w:val="0"/>
      <w:marRight w:val="0"/>
      <w:marTop w:val="0"/>
      <w:marBottom w:val="0"/>
      <w:divBdr>
        <w:top w:val="none" w:sz="0" w:space="0" w:color="auto"/>
        <w:left w:val="none" w:sz="0" w:space="0" w:color="auto"/>
        <w:bottom w:val="none" w:sz="0" w:space="0" w:color="auto"/>
        <w:right w:val="none" w:sz="0" w:space="0" w:color="auto"/>
      </w:divBdr>
      <w:divsChild>
        <w:div w:id="12072584">
          <w:marLeft w:val="0"/>
          <w:marRight w:val="0"/>
          <w:marTop w:val="0"/>
          <w:marBottom w:val="0"/>
          <w:divBdr>
            <w:top w:val="none" w:sz="0" w:space="0" w:color="auto"/>
            <w:left w:val="none" w:sz="0" w:space="0" w:color="auto"/>
            <w:bottom w:val="none" w:sz="0" w:space="0" w:color="auto"/>
            <w:right w:val="none" w:sz="0" w:space="0" w:color="auto"/>
          </w:divBdr>
        </w:div>
        <w:div w:id="120344965">
          <w:marLeft w:val="0"/>
          <w:marRight w:val="0"/>
          <w:marTop w:val="0"/>
          <w:marBottom w:val="0"/>
          <w:divBdr>
            <w:top w:val="none" w:sz="0" w:space="0" w:color="auto"/>
            <w:left w:val="none" w:sz="0" w:space="0" w:color="auto"/>
            <w:bottom w:val="none" w:sz="0" w:space="0" w:color="auto"/>
            <w:right w:val="none" w:sz="0" w:space="0" w:color="auto"/>
          </w:divBdr>
        </w:div>
        <w:div w:id="127862598">
          <w:marLeft w:val="0"/>
          <w:marRight w:val="0"/>
          <w:marTop w:val="0"/>
          <w:marBottom w:val="0"/>
          <w:divBdr>
            <w:top w:val="none" w:sz="0" w:space="0" w:color="auto"/>
            <w:left w:val="none" w:sz="0" w:space="0" w:color="auto"/>
            <w:bottom w:val="none" w:sz="0" w:space="0" w:color="auto"/>
            <w:right w:val="none" w:sz="0" w:space="0" w:color="auto"/>
          </w:divBdr>
        </w:div>
        <w:div w:id="183134183">
          <w:marLeft w:val="0"/>
          <w:marRight w:val="0"/>
          <w:marTop w:val="0"/>
          <w:marBottom w:val="0"/>
          <w:divBdr>
            <w:top w:val="none" w:sz="0" w:space="0" w:color="auto"/>
            <w:left w:val="none" w:sz="0" w:space="0" w:color="auto"/>
            <w:bottom w:val="none" w:sz="0" w:space="0" w:color="auto"/>
            <w:right w:val="none" w:sz="0" w:space="0" w:color="auto"/>
          </w:divBdr>
        </w:div>
        <w:div w:id="203491435">
          <w:marLeft w:val="0"/>
          <w:marRight w:val="0"/>
          <w:marTop w:val="0"/>
          <w:marBottom w:val="0"/>
          <w:divBdr>
            <w:top w:val="none" w:sz="0" w:space="0" w:color="auto"/>
            <w:left w:val="none" w:sz="0" w:space="0" w:color="auto"/>
            <w:bottom w:val="none" w:sz="0" w:space="0" w:color="auto"/>
            <w:right w:val="none" w:sz="0" w:space="0" w:color="auto"/>
          </w:divBdr>
        </w:div>
        <w:div w:id="439419607">
          <w:marLeft w:val="0"/>
          <w:marRight w:val="0"/>
          <w:marTop w:val="0"/>
          <w:marBottom w:val="0"/>
          <w:divBdr>
            <w:top w:val="none" w:sz="0" w:space="0" w:color="auto"/>
            <w:left w:val="none" w:sz="0" w:space="0" w:color="auto"/>
            <w:bottom w:val="none" w:sz="0" w:space="0" w:color="auto"/>
            <w:right w:val="none" w:sz="0" w:space="0" w:color="auto"/>
          </w:divBdr>
        </w:div>
        <w:div w:id="502864578">
          <w:marLeft w:val="0"/>
          <w:marRight w:val="0"/>
          <w:marTop w:val="0"/>
          <w:marBottom w:val="0"/>
          <w:divBdr>
            <w:top w:val="none" w:sz="0" w:space="0" w:color="auto"/>
            <w:left w:val="none" w:sz="0" w:space="0" w:color="auto"/>
            <w:bottom w:val="none" w:sz="0" w:space="0" w:color="auto"/>
            <w:right w:val="none" w:sz="0" w:space="0" w:color="auto"/>
          </w:divBdr>
        </w:div>
        <w:div w:id="982932899">
          <w:marLeft w:val="0"/>
          <w:marRight w:val="0"/>
          <w:marTop w:val="0"/>
          <w:marBottom w:val="0"/>
          <w:divBdr>
            <w:top w:val="none" w:sz="0" w:space="0" w:color="auto"/>
            <w:left w:val="none" w:sz="0" w:space="0" w:color="auto"/>
            <w:bottom w:val="none" w:sz="0" w:space="0" w:color="auto"/>
            <w:right w:val="none" w:sz="0" w:space="0" w:color="auto"/>
          </w:divBdr>
        </w:div>
        <w:div w:id="1308511274">
          <w:marLeft w:val="0"/>
          <w:marRight w:val="0"/>
          <w:marTop w:val="0"/>
          <w:marBottom w:val="0"/>
          <w:divBdr>
            <w:top w:val="none" w:sz="0" w:space="0" w:color="auto"/>
            <w:left w:val="none" w:sz="0" w:space="0" w:color="auto"/>
            <w:bottom w:val="none" w:sz="0" w:space="0" w:color="auto"/>
            <w:right w:val="none" w:sz="0" w:space="0" w:color="auto"/>
          </w:divBdr>
        </w:div>
        <w:div w:id="1480154283">
          <w:marLeft w:val="0"/>
          <w:marRight w:val="0"/>
          <w:marTop w:val="0"/>
          <w:marBottom w:val="0"/>
          <w:divBdr>
            <w:top w:val="none" w:sz="0" w:space="0" w:color="auto"/>
            <w:left w:val="none" w:sz="0" w:space="0" w:color="auto"/>
            <w:bottom w:val="none" w:sz="0" w:space="0" w:color="auto"/>
            <w:right w:val="none" w:sz="0" w:space="0" w:color="auto"/>
          </w:divBdr>
        </w:div>
        <w:div w:id="1962153641">
          <w:marLeft w:val="0"/>
          <w:marRight w:val="0"/>
          <w:marTop w:val="0"/>
          <w:marBottom w:val="0"/>
          <w:divBdr>
            <w:top w:val="none" w:sz="0" w:space="0" w:color="auto"/>
            <w:left w:val="none" w:sz="0" w:space="0" w:color="auto"/>
            <w:bottom w:val="none" w:sz="0" w:space="0" w:color="auto"/>
            <w:right w:val="none" w:sz="0" w:space="0" w:color="auto"/>
          </w:divBdr>
        </w:div>
      </w:divsChild>
    </w:div>
    <w:div w:id="1553729486">
      <w:bodyDiv w:val="1"/>
      <w:marLeft w:val="0"/>
      <w:marRight w:val="0"/>
      <w:marTop w:val="0"/>
      <w:marBottom w:val="0"/>
      <w:divBdr>
        <w:top w:val="none" w:sz="0" w:space="0" w:color="auto"/>
        <w:left w:val="none" w:sz="0" w:space="0" w:color="auto"/>
        <w:bottom w:val="none" w:sz="0" w:space="0" w:color="auto"/>
        <w:right w:val="none" w:sz="0" w:space="0" w:color="auto"/>
      </w:divBdr>
    </w:div>
    <w:div w:id="1555703414">
      <w:bodyDiv w:val="1"/>
      <w:marLeft w:val="0"/>
      <w:marRight w:val="0"/>
      <w:marTop w:val="0"/>
      <w:marBottom w:val="0"/>
      <w:divBdr>
        <w:top w:val="none" w:sz="0" w:space="0" w:color="auto"/>
        <w:left w:val="none" w:sz="0" w:space="0" w:color="auto"/>
        <w:bottom w:val="none" w:sz="0" w:space="0" w:color="auto"/>
        <w:right w:val="none" w:sz="0" w:space="0" w:color="auto"/>
      </w:divBdr>
    </w:div>
    <w:div w:id="1579711522">
      <w:bodyDiv w:val="1"/>
      <w:marLeft w:val="0"/>
      <w:marRight w:val="0"/>
      <w:marTop w:val="0"/>
      <w:marBottom w:val="0"/>
      <w:divBdr>
        <w:top w:val="none" w:sz="0" w:space="0" w:color="auto"/>
        <w:left w:val="none" w:sz="0" w:space="0" w:color="auto"/>
        <w:bottom w:val="none" w:sz="0" w:space="0" w:color="auto"/>
        <w:right w:val="none" w:sz="0" w:space="0" w:color="auto"/>
      </w:divBdr>
      <w:divsChild>
        <w:div w:id="981541813">
          <w:marLeft w:val="0"/>
          <w:marRight w:val="0"/>
          <w:marTop w:val="0"/>
          <w:marBottom w:val="0"/>
          <w:divBdr>
            <w:top w:val="none" w:sz="0" w:space="0" w:color="auto"/>
            <w:left w:val="none" w:sz="0" w:space="0" w:color="auto"/>
            <w:bottom w:val="none" w:sz="0" w:space="0" w:color="auto"/>
            <w:right w:val="none" w:sz="0" w:space="0" w:color="auto"/>
          </w:divBdr>
        </w:div>
        <w:div w:id="1365473127">
          <w:marLeft w:val="0"/>
          <w:marRight w:val="0"/>
          <w:marTop w:val="0"/>
          <w:marBottom w:val="0"/>
          <w:divBdr>
            <w:top w:val="none" w:sz="0" w:space="0" w:color="auto"/>
            <w:left w:val="none" w:sz="0" w:space="0" w:color="auto"/>
            <w:bottom w:val="none" w:sz="0" w:space="0" w:color="auto"/>
            <w:right w:val="none" w:sz="0" w:space="0" w:color="auto"/>
          </w:divBdr>
        </w:div>
        <w:div w:id="1463109863">
          <w:marLeft w:val="0"/>
          <w:marRight w:val="0"/>
          <w:marTop w:val="0"/>
          <w:marBottom w:val="0"/>
          <w:divBdr>
            <w:top w:val="none" w:sz="0" w:space="0" w:color="auto"/>
            <w:left w:val="none" w:sz="0" w:space="0" w:color="auto"/>
            <w:bottom w:val="none" w:sz="0" w:space="0" w:color="auto"/>
            <w:right w:val="none" w:sz="0" w:space="0" w:color="auto"/>
          </w:divBdr>
        </w:div>
        <w:div w:id="1468694370">
          <w:marLeft w:val="0"/>
          <w:marRight w:val="0"/>
          <w:marTop w:val="0"/>
          <w:marBottom w:val="0"/>
          <w:divBdr>
            <w:top w:val="none" w:sz="0" w:space="0" w:color="auto"/>
            <w:left w:val="none" w:sz="0" w:space="0" w:color="auto"/>
            <w:bottom w:val="none" w:sz="0" w:space="0" w:color="auto"/>
            <w:right w:val="none" w:sz="0" w:space="0" w:color="auto"/>
          </w:divBdr>
        </w:div>
        <w:div w:id="1599831475">
          <w:marLeft w:val="0"/>
          <w:marRight w:val="0"/>
          <w:marTop w:val="0"/>
          <w:marBottom w:val="0"/>
          <w:divBdr>
            <w:top w:val="none" w:sz="0" w:space="0" w:color="auto"/>
            <w:left w:val="none" w:sz="0" w:space="0" w:color="auto"/>
            <w:bottom w:val="none" w:sz="0" w:space="0" w:color="auto"/>
            <w:right w:val="none" w:sz="0" w:space="0" w:color="auto"/>
          </w:divBdr>
        </w:div>
        <w:div w:id="1600022293">
          <w:marLeft w:val="0"/>
          <w:marRight w:val="0"/>
          <w:marTop w:val="0"/>
          <w:marBottom w:val="0"/>
          <w:divBdr>
            <w:top w:val="none" w:sz="0" w:space="0" w:color="auto"/>
            <w:left w:val="none" w:sz="0" w:space="0" w:color="auto"/>
            <w:bottom w:val="none" w:sz="0" w:space="0" w:color="auto"/>
            <w:right w:val="none" w:sz="0" w:space="0" w:color="auto"/>
          </w:divBdr>
        </w:div>
        <w:div w:id="1841701946">
          <w:marLeft w:val="0"/>
          <w:marRight w:val="0"/>
          <w:marTop w:val="0"/>
          <w:marBottom w:val="0"/>
          <w:divBdr>
            <w:top w:val="none" w:sz="0" w:space="0" w:color="auto"/>
            <w:left w:val="none" w:sz="0" w:space="0" w:color="auto"/>
            <w:bottom w:val="none" w:sz="0" w:space="0" w:color="auto"/>
            <w:right w:val="none" w:sz="0" w:space="0" w:color="auto"/>
          </w:divBdr>
        </w:div>
        <w:div w:id="1908225810">
          <w:marLeft w:val="0"/>
          <w:marRight w:val="0"/>
          <w:marTop w:val="0"/>
          <w:marBottom w:val="0"/>
          <w:divBdr>
            <w:top w:val="none" w:sz="0" w:space="0" w:color="auto"/>
            <w:left w:val="none" w:sz="0" w:space="0" w:color="auto"/>
            <w:bottom w:val="none" w:sz="0" w:space="0" w:color="auto"/>
            <w:right w:val="none" w:sz="0" w:space="0" w:color="auto"/>
          </w:divBdr>
        </w:div>
      </w:divsChild>
    </w:div>
    <w:div w:id="1588808833">
      <w:bodyDiv w:val="1"/>
      <w:marLeft w:val="0"/>
      <w:marRight w:val="0"/>
      <w:marTop w:val="0"/>
      <w:marBottom w:val="0"/>
      <w:divBdr>
        <w:top w:val="none" w:sz="0" w:space="0" w:color="auto"/>
        <w:left w:val="none" w:sz="0" w:space="0" w:color="auto"/>
        <w:bottom w:val="none" w:sz="0" w:space="0" w:color="auto"/>
        <w:right w:val="none" w:sz="0" w:space="0" w:color="auto"/>
      </w:divBdr>
      <w:divsChild>
        <w:div w:id="11541486">
          <w:marLeft w:val="0"/>
          <w:marRight w:val="0"/>
          <w:marTop w:val="0"/>
          <w:marBottom w:val="0"/>
          <w:divBdr>
            <w:top w:val="none" w:sz="0" w:space="0" w:color="auto"/>
            <w:left w:val="none" w:sz="0" w:space="0" w:color="auto"/>
            <w:bottom w:val="none" w:sz="0" w:space="0" w:color="auto"/>
            <w:right w:val="none" w:sz="0" w:space="0" w:color="auto"/>
          </w:divBdr>
        </w:div>
        <w:div w:id="92211971">
          <w:marLeft w:val="0"/>
          <w:marRight w:val="0"/>
          <w:marTop w:val="0"/>
          <w:marBottom w:val="0"/>
          <w:divBdr>
            <w:top w:val="none" w:sz="0" w:space="0" w:color="auto"/>
            <w:left w:val="none" w:sz="0" w:space="0" w:color="auto"/>
            <w:bottom w:val="none" w:sz="0" w:space="0" w:color="auto"/>
            <w:right w:val="none" w:sz="0" w:space="0" w:color="auto"/>
          </w:divBdr>
        </w:div>
        <w:div w:id="112022861">
          <w:marLeft w:val="0"/>
          <w:marRight w:val="0"/>
          <w:marTop w:val="0"/>
          <w:marBottom w:val="0"/>
          <w:divBdr>
            <w:top w:val="none" w:sz="0" w:space="0" w:color="auto"/>
            <w:left w:val="none" w:sz="0" w:space="0" w:color="auto"/>
            <w:bottom w:val="none" w:sz="0" w:space="0" w:color="auto"/>
            <w:right w:val="none" w:sz="0" w:space="0" w:color="auto"/>
          </w:divBdr>
        </w:div>
        <w:div w:id="137263054">
          <w:marLeft w:val="0"/>
          <w:marRight w:val="0"/>
          <w:marTop w:val="0"/>
          <w:marBottom w:val="0"/>
          <w:divBdr>
            <w:top w:val="none" w:sz="0" w:space="0" w:color="auto"/>
            <w:left w:val="none" w:sz="0" w:space="0" w:color="auto"/>
            <w:bottom w:val="none" w:sz="0" w:space="0" w:color="auto"/>
            <w:right w:val="none" w:sz="0" w:space="0" w:color="auto"/>
          </w:divBdr>
        </w:div>
        <w:div w:id="264308971">
          <w:marLeft w:val="0"/>
          <w:marRight w:val="0"/>
          <w:marTop w:val="0"/>
          <w:marBottom w:val="0"/>
          <w:divBdr>
            <w:top w:val="none" w:sz="0" w:space="0" w:color="auto"/>
            <w:left w:val="none" w:sz="0" w:space="0" w:color="auto"/>
            <w:bottom w:val="none" w:sz="0" w:space="0" w:color="auto"/>
            <w:right w:val="none" w:sz="0" w:space="0" w:color="auto"/>
          </w:divBdr>
        </w:div>
        <w:div w:id="304168705">
          <w:marLeft w:val="0"/>
          <w:marRight w:val="0"/>
          <w:marTop w:val="0"/>
          <w:marBottom w:val="0"/>
          <w:divBdr>
            <w:top w:val="none" w:sz="0" w:space="0" w:color="auto"/>
            <w:left w:val="none" w:sz="0" w:space="0" w:color="auto"/>
            <w:bottom w:val="none" w:sz="0" w:space="0" w:color="auto"/>
            <w:right w:val="none" w:sz="0" w:space="0" w:color="auto"/>
          </w:divBdr>
        </w:div>
        <w:div w:id="316804061">
          <w:marLeft w:val="0"/>
          <w:marRight w:val="0"/>
          <w:marTop w:val="0"/>
          <w:marBottom w:val="0"/>
          <w:divBdr>
            <w:top w:val="none" w:sz="0" w:space="0" w:color="auto"/>
            <w:left w:val="none" w:sz="0" w:space="0" w:color="auto"/>
            <w:bottom w:val="none" w:sz="0" w:space="0" w:color="auto"/>
            <w:right w:val="none" w:sz="0" w:space="0" w:color="auto"/>
          </w:divBdr>
        </w:div>
        <w:div w:id="343285784">
          <w:marLeft w:val="0"/>
          <w:marRight w:val="0"/>
          <w:marTop w:val="0"/>
          <w:marBottom w:val="0"/>
          <w:divBdr>
            <w:top w:val="none" w:sz="0" w:space="0" w:color="auto"/>
            <w:left w:val="none" w:sz="0" w:space="0" w:color="auto"/>
            <w:bottom w:val="none" w:sz="0" w:space="0" w:color="auto"/>
            <w:right w:val="none" w:sz="0" w:space="0" w:color="auto"/>
          </w:divBdr>
        </w:div>
        <w:div w:id="381835445">
          <w:marLeft w:val="0"/>
          <w:marRight w:val="0"/>
          <w:marTop w:val="0"/>
          <w:marBottom w:val="0"/>
          <w:divBdr>
            <w:top w:val="none" w:sz="0" w:space="0" w:color="auto"/>
            <w:left w:val="none" w:sz="0" w:space="0" w:color="auto"/>
            <w:bottom w:val="none" w:sz="0" w:space="0" w:color="auto"/>
            <w:right w:val="none" w:sz="0" w:space="0" w:color="auto"/>
          </w:divBdr>
        </w:div>
        <w:div w:id="410200851">
          <w:marLeft w:val="0"/>
          <w:marRight w:val="0"/>
          <w:marTop w:val="0"/>
          <w:marBottom w:val="0"/>
          <w:divBdr>
            <w:top w:val="none" w:sz="0" w:space="0" w:color="auto"/>
            <w:left w:val="none" w:sz="0" w:space="0" w:color="auto"/>
            <w:bottom w:val="none" w:sz="0" w:space="0" w:color="auto"/>
            <w:right w:val="none" w:sz="0" w:space="0" w:color="auto"/>
          </w:divBdr>
        </w:div>
        <w:div w:id="414134944">
          <w:marLeft w:val="0"/>
          <w:marRight w:val="0"/>
          <w:marTop w:val="0"/>
          <w:marBottom w:val="0"/>
          <w:divBdr>
            <w:top w:val="none" w:sz="0" w:space="0" w:color="auto"/>
            <w:left w:val="none" w:sz="0" w:space="0" w:color="auto"/>
            <w:bottom w:val="none" w:sz="0" w:space="0" w:color="auto"/>
            <w:right w:val="none" w:sz="0" w:space="0" w:color="auto"/>
          </w:divBdr>
        </w:div>
        <w:div w:id="489292230">
          <w:marLeft w:val="0"/>
          <w:marRight w:val="0"/>
          <w:marTop w:val="0"/>
          <w:marBottom w:val="0"/>
          <w:divBdr>
            <w:top w:val="none" w:sz="0" w:space="0" w:color="auto"/>
            <w:left w:val="none" w:sz="0" w:space="0" w:color="auto"/>
            <w:bottom w:val="none" w:sz="0" w:space="0" w:color="auto"/>
            <w:right w:val="none" w:sz="0" w:space="0" w:color="auto"/>
          </w:divBdr>
        </w:div>
        <w:div w:id="501772756">
          <w:marLeft w:val="0"/>
          <w:marRight w:val="0"/>
          <w:marTop w:val="0"/>
          <w:marBottom w:val="0"/>
          <w:divBdr>
            <w:top w:val="none" w:sz="0" w:space="0" w:color="auto"/>
            <w:left w:val="none" w:sz="0" w:space="0" w:color="auto"/>
            <w:bottom w:val="none" w:sz="0" w:space="0" w:color="auto"/>
            <w:right w:val="none" w:sz="0" w:space="0" w:color="auto"/>
          </w:divBdr>
        </w:div>
        <w:div w:id="555776989">
          <w:marLeft w:val="0"/>
          <w:marRight w:val="0"/>
          <w:marTop w:val="0"/>
          <w:marBottom w:val="0"/>
          <w:divBdr>
            <w:top w:val="none" w:sz="0" w:space="0" w:color="auto"/>
            <w:left w:val="none" w:sz="0" w:space="0" w:color="auto"/>
            <w:bottom w:val="none" w:sz="0" w:space="0" w:color="auto"/>
            <w:right w:val="none" w:sz="0" w:space="0" w:color="auto"/>
          </w:divBdr>
        </w:div>
        <w:div w:id="559243145">
          <w:marLeft w:val="0"/>
          <w:marRight w:val="0"/>
          <w:marTop w:val="0"/>
          <w:marBottom w:val="0"/>
          <w:divBdr>
            <w:top w:val="none" w:sz="0" w:space="0" w:color="auto"/>
            <w:left w:val="none" w:sz="0" w:space="0" w:color="auto"/>
            <w:bottom w:val="none" w:sz="0" w:space="0" w:color="auto"/>
            <w:right w:val="none" w:sz="0" w:space="0" w:color="auto"/>
          </w:divBdr>
        </w:div>
        <w:div w:id="571237526">
          <w:marLeft w:val="0"/>
          <w:marRight w:val="0"/>
          <w:marTop w:val="0"/>
          <w:marBottom w:val="0"/>
          <w:divBdr>
            <w:top w:val="none" w:sz="0" w:space="0" w:color="auto"/>
            <w:left w:val="none" w:sz="0" w:space="0" w:color="auto"/>
            <w:bottom w:val="none" w:sz="0" w:space="0" w:color="auto"/>
            <w:right w:val="none" w:sz="0" w:space="0" w:color="auto"/>
          </w:divBdr>
        </w:div>
        <w:div w:id="598484004">
          <w:marLeft w:val="0"/>
          <w:marRight w:val="0"/>
          <w:marTop w:val="0"/>
          <w:marBottom w:val="0"/>
          <w:divBdr>
            <w:top w:val="none" w:sz="0" w:space="0" w:color="auto"/>
            <w:left w:val="none" w:sz="0" w:space="0" w:color="auto"/>
            <w:bottom w:val="none" w:sz="0" w:space="0" w:color="auto"/>
            <w:right w:val="none" w:sz="0" w:space="0" w:color="auto"/>
          </w:divBdr>
        </w:div>
        <w:div w:id="600530856">
          <w:marLeft w:val="0"/>
          <w:marRight w:val="0"/>
          <w:marTop w:val="0"/>
          <w:marBottom w:val="0"/>
          <w:divBdr>
            <w:top w:val="none" w:sz="0" w:space="0" w:color="auto"/>
            <w:left w:val="none" w:sz="0" w:space="0" w:color="auto"/>
            <w:bottom w:val="none" w:sz="0" w:space="0" w:color="auto"/>
            <w:right w:val="none" w:sz="0" w:space="0" w:color="auto"/>
          </w:divBdr>
        </w:div>
        <w:div w:id="603004819">
          <w:marLeft w:val="0"/>
          <w:marRight w:val="0"/>
          <w:marTop w:val="0"/>
          <w:marBottom w:val="0"/>
          <w:divBdr>
            <w:top w:val="none" w:sz="0" w:space="0" w:color="auto"/>
            <w:left w:val="none" w:sz="0" w:space="0" w:color="auto"/>
            <w:bottom w:val="none" w:sz="0" w:space="0" w:color="auto"/>
            <w:right w:val="none" w:sz="0" w:space="0" w:color="auto"/>
          </w:divBdr>
        </w:div>
        <w:div w:id="670060065">
          <w:marLeft w:val="0"/>
          <w:marRight w:val="0"/>
          <w:marTop w:val="0"/>
          <w:marBottom w:val="0"/>
          <w:divBdr>
            <w:top w:val="none" w:sz="0" w:space="0" w:color="auto"/>
            <w:left w:val="none" w:sz="0" w:space="0" w:color="auto"/>
            <w:bottom w:val="none" w:sz="0" w:space="0" w:color="auto"/>
            <w:right w:val="none" w:sz="0" w:space="0" w:color="auto"/>
          </w:divBdr>
        </w:div>
        <w:div w:id="728040991">
          <w:marLeft w:val="0"/>
          <w:marRight w:val="0"/>
          <w:marTop w:val="0"/>
          <w:marBottom w:val="0"/>
          <w:divBdr>
            <w:top w:val="none" w:sz="0" w:space="0" w:color="auto"/>
            <w:left w:val="none" w:sz="0" w:space="0" w:color="auto"/>
            <w:bottom w:val="none" w:sz="0" w:space="0" w:color="auto"/>
            <w:right w:val="none" w:sz="0" w:space="0" w:color="auto"/>
          </w:divBdr>
        </w:div>
        <w:div w:id="774639560">
          <w:marLeft w:val="0"/>
          <w:marRight w:val="0"/>
          <w:marTop w:val="0"/>
          <w:marBottom w:val="0"/>
          <w:divBdr>
            <w:top w:val="none" w:sz="0" w:space="0" w:color="auto"/>
            <w:left w:val="none" w:sz="0" w:space="0" w:color="auto"/>
            <w:bottom w:val="none" w:sz="0" w:space="0" w:color="auto"/>
            <w:right w:val="none" w:sz="0" w:space="0" w:color="auto"/>
          </w:divBdr>
        </w:div>
        <w:div w:id="808133284">
          <w:marLeft w:val="0"/>
          <w:marRight w:val="0"/>
          <w:marTop w:val="0"/>
          <w:marBottom w:val="0"/>
          <w:divBdr>
            <w:top w:val="none" w:sz="0" w:space="0" w:color="auto"/>
            <w:left w:val="none" w:sz="0" w:space="0" w:color="auto"/>
            <w:bottom w:val="none" w:sz="0" w:space="0" w:color="auto"/>
            <w:right w:val="none" w:sz="0" w:space="0" w:color="auto"/>
          </w:divBdr>
        </w:div>
        <w:div w:id="853887869">
          <w:marLeft w:val="0"/>
          <w:marRight w:val="0"/>
          <w:marTop w:val="0"/>
          <w:marBottom w:val="0"/>
          <w:divBdr>
            <w:top w:val="none" w:sz="0" w:space="0" w:color="auto"/>
            <w:left w:val="none" w:sz="0" w:space="0" w:color="auto"/>
            <w:bottom w:val="none" w:sz="0" w:space="0" w:color="auto"/>
            <w:right w:val="none" w:sz="0" w:space="0" w:color="auto"/>
          </w:divBdr>
        </w:div>
        <w:div w:id="873078911">
          <w:marLeft w:val="0"/>
          <w:marRight w:val="0"/>
          <w:marTop w:val="0"/>
          <w:marBottom w:val="0"/>
          <w:divBdr>
            <w:top w:val="none" w:sz="0" w:space="0" w:color="auto"/>
            <w:left w:val="none" w:sz="0" w:space="0" w:color="auto"/>
            <w:bottom w:val="none" w:sz="0" w:space="0" w:color="auto"/>
            <w:right w:val="none" w:sz="0" w:space="0" w:color="auto"/>
          </w:divBdr>
        </w:div>
        <w:div w:id="983892352">
          <w:marLeft w:val="0"/>
          <w:marRight w:val="0"/>
          <w:marTop w:val="0"/>
          <w:marBottom w:val="0"/>
          <w:divBdr>
            <w:top w:val="none" w:sz="0" w:space="0" w:color="auto"/>
            <w:left w:val="none" w:sz="0" w:space="0" w:color="auto"/>
            <w:bottom w:val="none" w:sz="0" w:space="0" w:color="auto"/>
            <w:right w:val="none" w:sz="0" w:space="0" w:color="auto"/>
          </w:divBdr>
        </w:div>
        <w:div w:id="985161153">
          <w:marLeft w:val="0"/>
          <w:marRight w:val="0"/>
          <w:marTop w:val="0"/>
          <w:marBottom w:val="0"/>
          <w:divBdr>
            <w:top w:val="none" w:sz="0" w:space="0" w:color="auto"/>
            <w:left w:val="none" w:sz="0" w:space="0" w:color="auto"/>
            <w:bottom w:val="none" w:sz="0" w:space="0" w:color="auto"/>
            <w:right w:val="none" w:sz="0" w:space="0" w:color="auto"/>
          </w:divBdr>
        </w:div>
        <w:div w:id="1017005466">
          <w:marLeft w:val="0"/>
          <w:marRight w:val="0"/>
          <w:marTop w:val="0"/>
          <w:marBottom w:val="0"/>
          <w:divBdr>
            <w:top w:val="none" w:sz="0" w:space="0" w:color="auto"/>
            <w:left w:val="none" w:sz="0" w:space="0" w:color="auto"/>
            <w:bottom w:val="none" w:sz="0" w:space="0" w:color="auto"/>
            <w:right w:val="none" w:sz="0" w:space="0" w:color="auto"/>
          </w:divBdr>
        </w:div>
        <w:div w:id="1097605082">
          <w:marLeft w:val="0"/>
          <w:marRight w:val="0"/>
          <w:marTop w:val="0"/>
          <w:marBottom w:val="0"/>
          <w:divBdr>
            <w:top w:val="none" w:sz="0" w:space="0" w:color="auto"/>
            <w:left w:val="none" w:sz="0" w:space="0" w:color="auto"/>
            <w:bottom w:val="none" w:sz="0" w:space="0" w:color="auto"/>
            <w:right w:val="none" w:sz="0" w:space="0" w:color="auto"/>
          </w:divBdr>
        </w:div>
        <w:div w:id="1141531744">
          <w:marLeft w:val="0"/>
          <w:marRight w:val="0"/>
          <w:marTop w:val="0"/>
          <w:marBottom w:val="0"/>
          <w:divBdr>
            <w:top w:val="none" w:sz="0" w:space="0" w:color="auto"/>
            <w:left w:val="none" w:sz="0" w:space="0" w:color="auto"/>
            <w:bottom w:val="none" w:sz="0" w:space="0" w:color="auto"/>
            <w:right w:val="none" w:sz="0" w:space="0" w:color="auto"/>
          </w:divBdr>
        </w:div>
        <w:div w:id="1241714722">
          <w:marLeft w:val="0"/>
          <w:marRight w:val="0"/>
          <w:marTop w:val="0"/>
          <w:marBottom w:val="0"/>
          <w:divBdr>
            <w:top w:val="none" w:sz="0" w:space="0" w:color="auto"/>
            <w:left w:val="none" w:sz="0" w:space="0" w:color="auto"/>
            <w:bottom w:val="none" w:sz="0" w:space="0" w:color="auto"/>
            <w:right w:val="none" w:sz="0" w:space="0" w:color="auto"/>
          </w:divBdr>
        </w:div>
        <w:div w:id="1249849281">
          <w:marLeft w:val="0"/>
          <w:marRight w:val="0"/>
          <w:marTop w:val="0"/>
          <w:marBottom w:val="0"/>
          <w:divBdr>
            <w:top w:val="none" w:sz="0" w:space="0" w:color="auto"/>
            <w:left w:val="none" w:sz="0" w:space="0" w:color="auto"/>
            <w:bottom w:val="none" w:sz="0" w:space="0" w:color="auto"/>
            <w:right w:val="none" w:sz="0" w:space="0" w:color="auto"/>
          </w:divBdr>
        </w:div>
        <w:div w:id="1264074118">
          <w:marLeft w:val="0"/>
          <w:marRight w:val="0"/>
          <w:marTop w:val="0"/>
          <w:marBottom w:val="0"/>
          <w:divBdr>
            <w:top w:val="none" w:sz="0" w:space="0" w:color="auto"/>
            <w:left w:val="none" w:sz="0" w:space="0" w:color="auto"/>
            <w:bottom w:val="none" w:sz="0" w:space="0" w:color="auto"/>
            <w:right w:val="none" w:sz="0" w:space="0" w:color="auto"/>
          </w:divBdr>
        </w:div>
        <w:div w:id="1270700742">
          <w:marLeft w:val="0"/>
          <w:marRight w:val="0"/>
          <w:marTop w:val="0"/>
          <w:marBottom w:val="0"/>
          <w:divBdr>
            <w:top w:val="none" w:sz="0" w:space="0" w:color="auto"/>
            <w:left w:val="none" w:sz="0" w:space="0" w:color="auto"/>
            <w:bottom w:val="none" w:sz="0" w:space="0" w:color="auto"/>
            <w:right w:val="none" w:sz="0" w:space="0" w:color="auto"/>
          </w:divBdr>
        </w:div>
        <w:div w:id="1329364735">
          <w:marLeft w:val="0"/>
          <w:marRight w:val="0"/>
          <w:marTop w:val="0"/>
          <w:marBottom w:val="0"/>
          <w:divBdr>
            <w:top w:val="none" w:sz="0" w:space="0" w:color="auto"/>
            <w:left w:val="none" w:sz="0" w:space="0" w:color="auto"/>
            <w:bottom w:val="none" w:sz="0" w:space="0" w:color="auto"/>
            <w:right w:val="none" w:sz="0" w:space="0" w:color="auto"/>
          </w:divBdr>
        </w:div>
        <w:div w:id="1404835569">
          <w:marLeft w:val="0"/>
          <w:marRight w:val="0"/>
          <w:marTop w:val="0"/>
          <w:marBottom w:val="0"/>
          <w:divBdr>
            <w:top w:val="none" w:sz="0" w:space="0" w:color="auto"/>
            <w:left w:val="none" w:sz="0" w:space="0" w:color="auto"/>
            <w:bottom w:val="none" w:sz="0" w:space="0" w:color="auto"/>
            <w:right w:val="none" w:sz="0" w:space="0" w:color="auto"/>
          </w:divBdr>
        </w:div>
        <w:div w:id="1506088175">
          <w:marLeft w:val="0"/>
          <w:marRight w:val="0"/>
          <w:marTop w:val="0"/>
          <w:marBottom w:val="0"/>
          <w:divBdr>
            <w:top w:val="none" w:sz="0" w:space="0" w:color="auto"/>
            <w:left w:val="none" w:sz="0" w:space="0" w:color="auto"/>
            <w:bottom w:val="none" w:sz="0" w:space="0" w:color="auto"/>
            <w:right w:val="none" w:sz="0" w:space="0" w:color="auto"/>
          </w:divBdr>
        </w:div>
        <w:div w:id="1564677566">
          <w:marLeft w:val="0"/>
          <w:marRight w:val="0"/>
          <w:marTop w:val="0"/>
          <w:marBottom w:val="0"/>
          <w:divBdr>
            <w:top w:val="none" w:sz="0" w:space="0" w:color="auto"/>
            <w:left w:val="none" w:sz="0" w:space="0" w:color="auto"/>
            <w:bottom w:val="none" w:sz="0" w:space="0" w:color="auto"/>
            <w:right w:val="none" w:sz="0" w:space="0" w:color="auto"/>
          </w:divBdr>
        </w:div>
        <w:div w:id="1565796062">
          <w:marLeft w:val="0"/>
          <w:marRight w:val="0"/>
          <w:marTop w:val="0"/>
          <w:marBottom w:val="0"/>
          <w:divBdr>
            <w:top w:val="none" w:sz="0" w:space="0" w:color="auto"/>
            <w:left w:val="none" w:sz="0" w:space="0" w:color="auto"/>
            <w:bottom w:val="none" w:sz="0" w:space="0" w:color="auto"/>
            <w:right w:val="none" w:sz="0" w:space="0" w:color="auto"/>
          </w:divBdr>
        </w:div>
        <w:div w:id="1586456424">
          <w:marLeft w:val="0"/>
          <w:marRight w:val="0"/>
          <w:marTop w:val="0"/>
          <w:marBottom w:val="0"/>
          <w:divBdr>
            <w:top w:val="none" w:sz="0" w:space="0" w:color="auto"/>
            <w:left w:val="none" w:sz="0" w:space="0" w:color="auto"/>
            <w:bottom w:val="none" w:sz="0" w:space="0" w:color="auto"/>
            <w:right w:val="none" w:sz="0" w:space="0" w:color="auto"/>
          </w:divBdr>
        </w:div>
        <w:div w:id="1654139264">
          <w:marLeft w:val="0"/>
          <w:marRight w:val="0"/>
          <w:marTop w:val="0"/>
          <w:marBottom w:val="0"/>
          <w:divBdr>
            <w:top w:val="none" w:sz="0" w:space="0" w:color="auto"/>
            <w:left w:val="none" w:sz="0" w:space="0" w:color="auto"/>
            <w:bottom w:val="none" w:sz="0" w:space="0" w:color="auto"/>
            <w:right w:val="none" w:sz="0" w:space="0" w:color="auto"/>
          </w:divBdr>
        </w:div>
        <w:div w:id="1715306270">
          <w:marLeft w:val="0"/>
          <w:marRight w:val="0"/>
          <w:marTop w:val="0"/>
          <w:marBottom w:val="0"/>
          <w:divBdr>
            <w:top w:val="none" w:sz="0" w:space="0" w:color="auto"/>
            <w:left w:val="none" w:sz="0" w:space="0" w:color="auto"/>
            <w:bottom w:val="none" w:sz="0" w:space="0" w:color="auto"/>
            <w:right w:val="none" w:sz="0" w:space="0" w:color="auto"/>
          </w:divBdr>
        </w:div>
        <w:div w:id="1793203148">
          <w:marLeft w:val="0"/>
          <w:marRight w:val="0"/>
          <w:marTop w:val="0"/>
          <w:marBottom w:val="0"/>
          <w:divBdr>
            <w:top w:val="none" w:sz="0" w:space="0" w:color="auto"/>
            <w:left w:val="none" w:sz="0" w:space="0" w:color="auto"/>
            <w:bottom w:val="none" w:sz="0" w:space="0" w:color="auto"/>
            <w:right w:val="none" w:sz="0" w:space="0" w:color="auto"/>
          </w:divBdr>
        </w:div>
        <w:div w:id="1823690343">
          <w:marLeft w:val="0"/>
          <w:marRight w:val="0"/>
          <w:marTop w:val="0"/>
          <w:marBottom w:val="0"/>
          <w:divBdr>
            <w:top w:val="none" w:sz="0" w:space="0" w:color="auto"/>
            <w:left w:val="none" w:sz="0" w:space="0" w:color="auto"/>
            <w:bottom w:val="none" w:sz="0" w:space="0" w:color="auto"/>
            <w:right w:val="none" w:sz="0" w:space="0" w:color="auto"/>
          </w:divBdr>
        </w:div>
        <w:div w:id="1871143652">
          <w:marLeft w:val="0"/>
          <w:marRight w:val="0"/>
          <w:marTop w:val="0"/>
          <w:marBottom w:val="0"/>
          <w:divBdr>
            <w:top w:val="none" w:sz="0" w:space="0" w:color="auto"/>
            <w:left w:val="none" w:sz="0" w:space="0" w:color="auto"/>
            <w:bottom w:val="none" w:sz="0" w:space="0" w:color="auto"/>
            <w:right w:val="none" w:sz="0" w:space="0" w:color="auto"/>
          </w:divBdr>
        </w:div>
        <w:div w:id="1877427713">
          <w:marLeft w:val="0"/>
          <w:marRight w:val="0"/>
          <w:marTop w:val="0"/>
          <w:marBottom w:val="0"/>
          <w:divBdr>
            <w:top w:val="none" w:sz="0" w:space="0" w:color="auto"/>
            <w:left w:val="none" w:sz="0" w:space="0" w:color="auto"/>
            <w:bottom w:val="none" w:sz="0" w:space="0" w:color="auto"/>
            <w:right w:val="none" w:sz="0" w:space="0" w:color="auto"/>
          </w:divBdr>
        </w:div>
        <w:div w:id="1880698518">
          <w:marLeft w:val="0"/>
          <w:marRight w:val="0"/>
          <w:marTop w:val="0"/>
          <w:marBottom w:val="0"/>
          <w:divBdr>
            <w:top w:val="none" w:sz="0" w:space="0" w:color="auto"/>
            <w:left w:val="none" w:sz="0" w:space="0" w:color="auto"/>
            <w:bottom w:val="none" w:sz="0" w:space="0" w:color="auto"/>
            <w:right w:val="none" w:sz="0" w:space="0" w:color="auto"/>
          </w:divBdr>
        </w:div>
        <w:div w:id="1924366265">
          <w:marLeft w:val="0"/>
          <w:marRight w:val="0"/>
          <w:marTop w:val="0"/>
          <w:marBottom w:val="0"/>
          <w:divBdr>
            <w:top w:val="none" w:sz="0" w:space="0" w:color="auto"/>
            <w:left w:val="none" w:sz="0" w:space="0" w:color="auto"/>
            <w:bottom w:val="none" w:sz="0" w:space="0" w:color="auto"/>
            <w:right w:val="none" w:sz="0" w:space="0" w:color="auto"/>
          </w:divBdr>
        </w:div>
        <w:div w:id="2008551104">
          <w:marLeft w:val="0"/>
          <w:marRight w:val="0"/>
          <w:marTop w:val="0"/>
          <w:marBottom w:val="0"/>
          <w:divBdr>
            <w:top w:val="none" w:sz="0" w:space="0" w:color="auto"/>
            <w:left w:val="none" w:sz="0" w:space="0" w:color="auto"/>
            <w:bottom w:val="none" w:sz="0" w:space="0" w:color="auto"/>
            <w:right w:val="none" w:sz="0" w:space="0" w:color="auto"/>
          </w:divBdr>
        </w:div>
        <w:div w:id="2034921604">
          <w:marLeft w:val="0"/>
          <w:marRight w:val="0"/>
          <w:marTop w:val="0"/>
          <w:marBottom w:val="0"/>
          <w:divBdr>
            <w:top w:val="none" w:sz="0" w:space="0" w:color="auto"/>
            <w:left w:val="none" w:sz="0" w:space="0" w:color="auto"/>
            <w:bottom w:val="none" w:sz="0" w:space="0" w:color="auto"/>
            <w:right w:val="none" w:sz="0" w:space="0" w:color="auto"/>
          </w:divBdr>
        </w:div>
        <w:div w:id="2036689082">
          <w:marLeft w:val="0"/>
          <w:marRight w:val="0"/>
          <w:marTop w:val="0"/>
          <w:marBottom w:val="0"/>
          <w:divBdr>
            <w:top w:val="none" w:sz="0" w:space="0" w:color="auto"/>
            <w:left w:val="none" w:sz="0" w:space="0" w:color="auto"/>
            <w:bottom w:val="none" w:sz="0" w:space="0" w:color="auto"/>
            <w:right w:val="none" w:sz="0" w:space="0" w:color="auto"/>
          </w:divBdr>
        </w:div>
      </w:divsChild>
    </w:div>
    <w:div w:id="1599678445">
      <w:bodyDiv w:val="1"/>
      <w:marLeft w:val="0"/>
      <w:marRight w:val="0"/>
      <w:marTop w:val="0"/>
      <w:marBottom w:val="0"/>
      <w:divBdr>
        <w:top w:val="none" w:sz="0" w:space="0" w:color="auto"/>
        <w:left w:val="none" w:sz="0" w:space="0" w:color="auto"/>
        <w:bottom w:val="none" w:sz="0" w:space="0" w:color="auto"/>
        <w:right w:val="none" w:sz="0" w:space="0" w:color="auto"/>
      </w:divBdr>
    </w:div>
    <w:div w:id="1612282556">
      <w:bodyDiv w:val="1"/>
      <w:marLeft w:val="0"/>
      <w:marRight w:val="0"/>
      <w:marTop w:val="0"/>
      <w:marBottom w:val="0"/>
      <w:divBdr>
        <w:top w:val="none" w:sz="0" w:space="0" w:color="auto"/>
        <w:left w:val="none" w:sz="0" w:space="0" w:color="auto"/>
        <w:bottom w:val="none" w:sz="0" w:space="0" w:color="auto"/>
        <w:right w:val="none" w:sz="0" w:space="0" w:color="auto"/>
      </w:divBdr>
      <w:divsChild>
        <w:div w:id="18625605">
          <w:marLeft w:val="0"/>
          <w:marRight w:val="0"/>
          <w:marTop w:val="0"/>
          <w:marBottom w:val="0"/>
          <w:divBdr>
            <w:top w:val="none" w:sz="0" w:space="0" w:color="auto"/>
            <w:left w:val="none" w:sz="0" w:space="0" w:color="auto"/>
            <w:bottom w:val="none" w:sz="0" w:space="0" w:color="auto"/>
            <w:right w:val="none" w:sz="0" w:space="0" w:color="auto"/>
          </w:divBdr>
        </w:div>
        <w:div w:id="409621532">
          <w:marLeft w:val="0"/>
          <w:marRight w:val="0"/>
          <w:marTop w:val="0"/>
          <w:marBottom w:val="0"/>
          <w:divBdr>
            <w:top w:val="none" w:sz="0" w:space="0" w:color="auto"/>
            <w:left w:val="none" w:sz="0" w:space="0" w:color="auto"/>
            <w:bottom w:val="none" w:sz="0" w:space="0" w:color="auto"/>
            <w:right w:val="none" w:sz="0" w:space="0" w:color="auto"/>
          </w:divBdr>
        </w:div>
        <w:div w:id="500123958">
          <w:marLeft w:val="0"/>
          <w:marRight w:val="0"/>
          <w:marTop w:val="0"/>
          <w:marBottom w:val="0"/>
          <w:divBdr>
            <w:top w:val="none" w:sz="0" w:space="0" w:color="auto"/>
            <w:left w:val="none" w:sz="0" w:space="0" w:color="auto"/>
            <w:bottom w:val="none" w:sz="0" w:space="0" w:color="auto"/>
            <w:right w:val="none" w:sz="0" w:space="0" w:color="auto"/>
          </w:divBdr>
        </w:div>
        <w:div w:id="1035033974">
          <w:marLeft w:val="0"/>
          <w:marRight w:val="0"/>
          <w:marTop w:val="0"/>
          <w:marBottom w:val="0"/>
          <w:divBdr>
            <w:top w:val="none" w:sz="0" w:space="0" w:color="auto"/>
            <w:left w:val="none" w:sz="0" w:space="0" w:color="auto"/>
            <w:bottom w:val="none" w:sz="0" w:space="0" w:color="auto"/>
            <w:right w:val="none" w:sz="0" w:space="0" w:color="auto"/>
          </w:divBdr>
        </w:div>
        <w:div w:id="1485512920">
          <w:marLeft w:val="0"/>
          <w:marRight w:val="0"/>
          <w:marTop w:val="0"/>
          <w:marBottom w:val="0"/>
          <w:divBdr>
            <w:top w:val="none" w:sz="0" w:space="0" w:color="auto"/>
            <w:left w:val="none" w:sz="0" w:space="0" w:color="auto"/>
            <w:bottom w:val="none" w:sz="0" w:space="0" w:color="auto"/>
            <w:right w:val="none" w:sz="0" w:space="0" w:color="auto"/>
          </w:divBdr>
        </w:div>
      </w:divsChild>
    </w:div>
    <w:div w:id="1613902027">
      <w:bodyDiv w:val="1"/>
      <w:marLeft w:val="0"/>
      <w:marRight w:val="0"/>
      <w:marTop w:val="0"/>
      <w:marBottom w:val="0"/>
      <w:divBdr>
        <w:top w:val="none" w:sz="0" w:space="0" w:color="auto"/>
        <w:left w:val="none" w:sz="0" w:space="0" w:color="auto"/>
        <w:bottom w:val="none" w:sz="0" w:space="0" w:color="auto"/>
        <w:right w:val="none" w:sz="0" w:space="0" w:color="auto"/>
      </w:divBdr>
      <w:divsChild>
        <w:div w:id="1413434145">
          <w:marLeft w:val="0"/>
          <w:marRight w:val="0"/>
          <w:marTop w:val="0"/>
          <w:marBottom w:val="0"/>
          <w:divBdr>
            <w:top w:val="none" w:sz="0" w:space="0" w:color="auto"/>
            <w:left w:val="none" w:sz="0" w:space="0" w:color="auto"/>
            <w:bottom w:val="none" w:sz="0" w:space="0" w:color="auto"/>
            <w:right w:val="none" w:sz="0" w:space="0" w:color="auto"/>
          </w:divBdr>
        </w:div>
      </w:divsChild>
    </w:div>
    <w:div w:id="1644037720">
      <w:bodyDiv w:val="1"/>
      <w:marLeft w:val="0"/>
      <w:marRight w:val="0"/>
      <w:marTop w:val="0"/>
      <w:marBottom w:val="0"/>
      <w:divBdr>
        <w:top w:val="none" w:sz="0" w:space="0" w:color="auto"/>
        <w:left w:val="none" w:sz="0" w:space="0" w:color="auto"/>
        <w:bottom w:val="none" w:sz="0" w:space="0" w:color="auto"/>
        <w:right w:val="none" w:sz="0" w:space="0" w:color="auto"/>
      </w:divBdr>
      <w:divsChild>
        <w:div w:id="938831605">
          <w:marLeft w:val="0"/>
          <w:marRight w:val="0"/>
          <w:marTop w:val="0"/>
          <w:marBottom w:val="0"/>
          <w:divBdr>
            <w:top w:val="none" w:sz="0" w:space="0" w:color="auto"/>
            <w:left w:val="none" w:sz="0" w:space="0" w:color="auto"/>
            <w:bottom w:val="none" w:sz="0" w:space="0" w:color="auto"/>
            <w:right w:val="none" w:sz="0" w:space="0" w:color="auto"/>
          </w:divBdr>
        </w:div>
        <w:div w:id="1420130467">
          <w:marLeft w:val="0"/>
          <w:marRight w:val="0"/>
          <w:marTop w:val="0"/>
          <w:marBottom w:val="0"/>
          <w:divBdr>
            <w:top w:val="none" w:sz="0" w:space="0" w:color="auto"/>
            <w:left w:val="none" w:sz="0" w:space="0" w:color="auto"/>
            <w:bottom w:val="none" w:sz="0" w:space="0" w:color="auto"/>
            <w:right w:val="none" w:sz="0" w:space="0" w:color="auto"/>
          </w:divBdr>
        </w:div>
        <w:div w:id="1434859179">
          <w:marLeft w:val="0"/>
          <w:marRight w:val="0"/>
          <w:marTop w:val="0"/>
          <w:marBottom w:val="0"/>
          <w:divBdr>
            <w:top w:val="none" w:sz="0" w:space="0" w:color="auto"/>
            <w:left w:val="none" w:sz="0" w:space="0" w:color="auto"/>
            <w:bottom w:val="none" w:sz="0" w:space="0" w:color="auto"/>
            <w:right w:val="none" w:sz="0" w:space="0" w:color="auto"/>
          </w:divBdr>
        </w:div>
      </w:divsChild>
    </w:div>
    <w:div w:id="1651908907">
      <w:bodyDiv w:val="1"/>
      <w:marLeft w:val="0"/>
      <w:marRight w:val="0"/>
      <w:marTop w:val="0"/>
      <w:marBottom w:val="0"/>
      <w:divBdr>
        <w:top w:val="none" w:sz="0" w:space="0" w:color="auto"/>
        <w:left w:val="none" w:sz="0" w:space="0" w:color="auto"/>
        <w:bottom w:val="none" w:sz="0" w:space="0" w:color="auto"/>
        <w:right w:val="none" w:sz="0" w:space="0" w:color="auto"/>
      </w:divBdr>
    </w:div>
    <w:div w:id="1653440141">
      <w:bodyDiv w:val="1"/>
      <w:marLeft w:val="0"/>
      <w:marRight w:val="0"/>
      <w:marTop w:val="0"/>
      <w:marBottom w:val="0"/>
      <w:divBdr>
        <w:top w:val="none" w:sz="0" w:space="0" w:color="auto"/>
        <w:left w:val="none" w:sz="0" w:space="0" w:color="auto"/>
        <w:bottom w:val="none" w:sz="0" w:space="0" w:color="auto"/>
        <w:right w:val="none" w:sz="0" w:space="0" w:color="auto"/>
      </w:divBdr>
      <w:divsChild>
        <w:div w:id="51084176">
          <w:marLeft w:val="446"/>
          <w:marRight w:val="0"/>
          <w:marTop w:val="0"/>
          <w:marBottom w:val="0"/>
          <w:divBdr>
            <w:top w:val="none" w:sz="0" w:space="0" w:color="auto"/>
            <w:left w:val="none" w:sz="0" w:space="0" w:color="auto"/>
            <w:bottom w:val="none" w:sz="0" w:space="0" w:color="auto"/>
            <w:right w:val="none" w:sz="0" w:space="0" w:color="auto"/>
          </w:divBdr>
        </w:div>
        <w:div w:id="138041833">
          <w:marLeft w:val="446"/>
          <w:marRight w:val="0"/>
          <w:marTop w:val="0"/>
          <w:marBottom w:val="0"/>
          <w:divBdr>
            <w:top w:val="none" w:sz="0" w:space="0" w:color="auto"/>
            <w:left w:val="none" w:sz="0" w:space="0" w:color="auto"/>
            <w:bottom w:val="none" w:sz="0" w:space="0" w:color="auto"/>
            <w:right w:val="none" w:sz="0" w:space="0" w:color="auto"/>
          </w:divBdr>
        </w:div>
        <w:div w:id="891890377">
          <w:marLeft w:val="446"/>
          <w:marRight w:val="0"/>
          <w:marTop w:val="0"/>
          <w:marBottom w:val="0"/>
          <w:divBdr>
            <w:top w:val="none" w:sz="0" w:space="0" w:color="auto"/>
            <w:left w:val="none" w:sz="0" w:space="0" w:color="auto"/>
            <w:bottom w:val="none" w:sz="0" w:space="0" w:color="auto"/>
            <w:right w:val="none" w:sz="0" w:space="0" w:color="auto"/>
          </w:divBdr>
        </w:div>
        <w:div w:id="2064788791">
          <w:marLeft w:val="446"/>
          <w:marRight w:val="0"/>
          <w:marTop w:val="0"/>
          <w:marBottom w:val="0"/>
          <w:divBdr>
            <w:top w:val="none" w:sz="0" w:space="0" w:color="auto"/>
            <w:left w:val="none" w:sz="0" w:space="0" w:color="auto"/>
            <w:bottom w:val="none" w:sz="0" w:space="0" w:color="auto"/>
            <w:right w:val="none" w:sz="0" w:space="0" w:color="auto"/>
          </w:divBdr>
        </w:div>
        <w:div w:id="2132941202">
          <w:marLeft w:val="446"/>
          <w:marRight w:val="0"/>
          <w:marTop w:val="0"/>
          <w:marBottom w:val="0"/>
          <w:divBdr>
            <w:top w:val="none" w:sz="0" w:space="0" w:color="auto"/>
            <w:left w:val="none" w:sz="0" w:space="0" w:color="auto"/>
            <w:bottom w:val="none" w:sz="0" w:space="0" w:color="auto"/>
            <w:right w:val="none" w:sz="0" w:space="0" w:color="auto"/>
          </w:divBdr>
        </w:div>
      </w:divsChild>
    </w:div>
    <w:div w:id="1662343576">
      <w:bodyDiv w:val="1"/>
      <w:marLeft w:val="0"/>
      <w:marRight w:val="0"/>
      <w:marTop w:val="0"/>
      <w:marBottom w:val="0"/>
      <w:divBdr>
        <w:top w:val="none" w:sz="0" w:space="0" w:color="auto"/>
        <w:left w:val="none" w:sz="0" w:space="0" w:color="auto"/>
        <w:bottom w:val="none" w:sz="0" w:space="0" w:color="auto"/>
        <w:right w:val="none" w:sz="0" w:space="0" w:color="auto"/>
      </w:divBdr>
    </w:div>
    <w:div w:id="1667124613">
      <w:bodyDiv w:val="1"/>
      <w:marLeft w:val="0"/>
      <w:marRight w:val="0"/>
      <w:marTop w:val="0"/>
      <w:marBottom w:val="0"/>
      <w:divBdr>
        <w:top w:val="none" w:sz="0" w:space="0" w:color="auto"/>
        <w:left w:val="none" w:sz="0" w:space="0" w:color="auto"/>
        <w:bottom w:val="none" w:sz="0" w:space="0" w:color="auto"/>
        <w:right w:val="none" w:sz="0" w:space="0" w:color="auto"/>
      </w:divBdr>
      <w:divsChild>
        <w:div w:id="1332638544">
          <w:marLeft w:val="0"/>
          <w:marRight w:val="0"/>
          <w:marTop w:val="0"/>
          <w:marBottom w:val="0"/>
          <w:divBdr>
            <w:top w:val="none" w:sz="0" w:space="0" w:color="auto"/>
            <w:left w:val="none" w:sz="0" w:space="0" w:color="auto"/>
            <w:bottom w:val="none" w:sz="0" w:space="0" w:color="auto"/>
            <w:right w:val="none" w:sz="0" w:space="0" w:color="auto"/>
          </w:divBdr>
          <w:divsChild>
            <w:div w:id="187380925">
              <w:marLeft w:val="0"/>
              <w:marRight w:val="0"/>
              <w:marTop w:val="0"/>
              <w:marBottom w:val="0"/>
              <w:divBdr>
                <w:top w:val="none" w:sz="0" w:space="0" w:color="auto"/>
                <w:left w:val="none" w:sz="0" w:space="0" w:color="auto"/>
                <w:bottom w:val="none" w:sz="0" w:space="0" w:color="auto"/>
                <w:right w:val="none" w:sz="0" w:space="0" w:color="auto"/>
              </w:divBdr>
              <w:divsChild>
                <w:div w:id="37508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1315970">
      <w:bodyDiv w:val="1"/>
      <w:marLeft w:val="0"/>
      <w:marRight w:val="0"/>
      <w:marTop w:val="0"/>
      <w:marBottom w:val="0"/>
      <w:divBdr>
        <w:top w:val="none" w:sz="0" w:space="0" w:color="auto"/>
        <w:left w:val="none" w:sz="0" w:space="0" w:color="auto"/>
        <w:bottom w:val="none" w:sz="0" w:space="0" w:color="auto"/>
        <w:right w:val="none" w:sz="0" w:space="0" w:color="auto"/>
      </w:divBdr>
      <w:divsChild>
        <w:div w:id="8652389">
          <w:marLeft w:val="0"/>
          <w:marRight w:val="0"/>
          <w:marTop w:val="0"/>
          <w:marBottom w:val="0"/>
          <w:divBdr>
            <w:top w:val="none" w:sz="0" w:space="0" w:color="auto"/>
            <w:left w:val="none" w:sz="0" w:space="0" w:color="auto"/>
            <w:bottom w:val="none" w:sz="0" w:space="0" w:color="auto"/>
            <w:right w:val="none" w:sz="0" w:space="0" w:color="auto"/>
          </w:divBdr>
        </w:div>
        <w:div w:id="28454002">
          <w:marLeft w:val="0"/>
          <w:marRight w:val="0"/>
          <w:marTop w:val="0"/>
          <w:marBottom w:val="0"/>
          <w:divBdr>
            <w:top w:val="none" w:sz="0" w:space="0" w:color="auto"/>
            <w:left w:val="none" w:sz="0" w:space="0" w:color="auto"/>
            <w:bottom w:val="none" w:sz="0" w:space="0" w:color="auto"/>
            <w:right w:val="none" w:sz="0" w:space="0" w:color="auto"/>
          </w:divBdr>
        </w:div>
        <w:div w:id="39404754">
          <w:marLeft w:val="0"/>
          <w:marRight w:val="0"/>
          <w:marTop w:val="0"/>
          <w:marBottom w:val="0"/>
          <w:divBdr>
            <w:top w:val="none" w:sz="0" w:space="0" w:color="auto"/>
            <w:left w:val="none" w:sz="0" w:space="0" w:color="auto"/>
            <w:bottom w:val="none" w:sz="0" w:space="0" w:color="auto"/>
            <w:right w:val="none" w:sz="0" w:space="0" w:color="auto"/>
          </w:divBdr>
        </w:div>
        <w:div w:id="39944079">
          <w:marLeft w:val="0"/>
          <w:marRight w:val="0"/>
          <w:marTop w:val="0"/>
          <w:marBottom w:val="0"/>
          <w:divBdr>
            <w:top w:val="none" w:sz="0" w:space="0" w:color="auto"/>
            <w:left w:val="none" w:sz="0" w:space="0" w:color="auto"/>
            <w:bottom w:val="none" w:sz="0" w:space="0" w:color="auto"/>
            <w:right w:val="none" w:sz="0" w:space="0" w:color="auto"/>
          </w:divBdr>
        </w:div>
        <w:div w:id="65500867">
          <w:marLeft w:val="0"/>
          <w:marRight w:val="0"/>
          <w:marTop w:val="0"/>
          <w:marBottom w:val="0"/>
          <w:divBdr>
            <w:top w:val="none" w:sz="0" w:space="0" w:color="auto"/>
            <w:left w:val="none" w:sz="0" w:space="0" w:color="auto"/>
            <w:bottom w:val="none" w:sz="0" w:space="0" w:color="auto"/>
            <w:right w:val="none" w:sz="0" w:space="0" w:color="auto"/>
          </w:divBdr>
        </w:div>
        <w:div w:id="141625873">
          <w:marLeft w:val="0"/>
          <w:marRight w:val="0"/>
          <w:marTop w:val="0"/>
          <w:marBottom w:val="0"/>
          <w:divBdr>
            <w:top w:val="none" w:sz="0" w:space="0" w:color="auto"/>
            <w:left w:val="none" w:sz="0" w:space="0" w:color="auto"/>
            <w:bottom w:val="none" w:sz="0" w:space="0" w:color="auto"/>
            <w:right w:val="none" w:sz="0" w:space="0" w:color="auto"/>
          </w:divBdr>
        </w:div>
        <w:div w:id="338970279">
          <w:marLeft w:val="0"/>
          <w:marRight w:val="0"/>
          <w:marTop w:val="0"/>
          <w:marBottom w:val="0"/>
          <w:divBdr>
            <w:top w:val="none" w:sz="0" w:space="0" w:color="auto"/>
            <w:left w:val="none" w:sz="0" w:space="0" w:color="auto"/>
            <w:bottom w:val="none" w:sz="0" w:space="0" w:color="auto"/>
            <w:right w:val="none" w:sz="0" w:space="0" w:color="auto"/>
          </w:divBdr>
        </w:div>
        <w:div w:id="374086339">
          <w:marLeft w:val="0"/>
          <w:marRight w:val="0"/>
          <w:marTop w:val="0"/>
          <w:marBottom w:val="0"/>
          <w:divBdr>
            <w:top w:val="none" w:sz="0" w:space="0" w:color="auto"/>
            <w:left w:val="none" w:sz="0" w:space="0" w:color="auto"/>
            <w:bottom w:val="none" w:sz="0" w:space="0" w:color="auto"/>
            <w:right w:val="none" w:sz="0" w:space="0" w:color="auto"/>
          </w:divBdr>
        </w:div>
        <w:div w:id="400446068">
          <w:marLeft w:val="0"/>
          <w:marRight w:val="0"/>
          <w:marTop w:val="0"/>
          <w:marBottom w:val="0"/>
          <w:divBdr>
            <w:top w:val="none" w:sz="0" w:space="0" w:color="auto"/>
            <w:left w:val="none" w:sz="0" w:space="0" w:color="auto"/>
            <w:bottom w:val="none" w:sz="0" w:space="0" w:color="auto"/>
            <w:right w:val="none" w:sz="0" w:space="0" w:color="auto"/>
          </w:divBdr>
        </w:div>
        <w:div w:id="441656482">
          <w:marLeft w:val="0"/>
          <w:marRight w:val="0"/>
          <w:marTop w:val="0"/>
          <w:marBottom w:val="0"/>
          <w:divBdr>
            <w:top w:val="none" w:sz="0" w:space="0" w:color="auto"/>
            <w:left w:val="none" w:sz="0" w:space="0" w:color="auto"/>
            <w:bottom w:val="none" w:sz="0" w:space="0" w:color="auto"/>
            <w:right w:val="none" w:sz="0" w:space="0" w:color="auto"/>
          </w:divBdr>
        </w:div>
        <w:div w:id="491264276">
          <w:marLeft w:val="0"/>
          <w:marRight w:val="0"/>
          <w:marTop w:val="0"/>
          <w:marBottom w:val="0"/>
          <w:divBdr>
            <w:top w:val="none" w:sz="0" w:space="0" w:color="auto"/>
            <w:left w:val="none" w:sz="0" w:space="0" w:color="auto"/>
            <w:bottom w:val="none" w:sz="0" w:space="0" w:color="auto"/>
            <w:right w:val="none" w:sz="0" w:space="0" w:color="auto"/>
          </w:divBdr>
        </w:div>
        <w:div w:id="524446547">
          <w:marLeft w:val="0"/>
          <w:marRight w:val="0"/>
          <w:marTop w:val="0"/>
          <w:marBottom w:val="0"/>
          <w:divBdr>
            <w:top w:val="none" w:sz="0" w:space="0" w:color="auto"/>
            <w:left w:val="none" w:sz="0" w:space="0" w:color="auto"/>
            <w:bottom w:val="none" w:sz="0" w:space="0" w:color="auto"/>
            <w:right w:val="none" w:sz="0" w:space="0" w:color="auto"/>
          </w:divBdr>
        </w:div>
        <w:div w:id="549993989">
          <w:marLeft w:val="0"/>
          <w:marRight w:val="0"/>
          <w:marTop w:val="0"/>
          <w:marBottom w:val="0"/>
          <w:divBdr>
            <w:top w:val="none" w:sz="0" w:space="0" w:color="auto"/>
            <w:left w:val="none" w:sz="0" w:space="0" w:color="auto"/>
            <w:bottom w:val="none" w:sz="0" w:space="0" w:color="auto"/>
            <w:right w:val="none" w:sz="0" w:space="0" w:color="auto"/>
          </w:divBdr>
        </w:div>
        <w:div w:id="722370530">
          <w:marLeft w:val="0"/>
          <w:marRight w:val="0"/>
          <w:marTop w:val="0"/>
          <w:marBottom w:val="0"/>
          <w:divBdr>
            <w:top w:val="none" w:sz="0" w:space="0" w:color="auto"/>
            <w:left w:val="none" w:sz="0" w:space="0" w:color="auto"/>
            <w:bottom w:val="none" w:sz="0" w:space="0" w:color="auto"/>
            <w:right w:val="none" w:sz="0" w:space="0" w:color="auto"/>
          </w:divBdr>
        </w:div>
        <w:div w:id="760948786">
          <w:marLeft w:val="0"/>
          <w:marRight w:val="0"/>
          <w:marTop w:val="0"/>
          <w:marBottom w:val="0"/>
          <w:divBdr>
            <w:top w:val="none" w:sz="0" w:space="0" w:color="auto"/>
            <w:left w:val="none" w:sz="0" w:space="0" w:color="auto"/>
            <w:bottom w:val="none" w:sz="0" w:space="0" w:color="auto"/>
            <w:right w:val="none" w:sz="0" w:space="0" w:color="auto"/>
          </w:divBdr>
        </w:div>
        <w:div w:id="838498361">
          <w:marLeft w:val="0"/>
          <w:marRight w:val="0"/>
          <w:marTop w:val="0"/>
          <w:marBottom w:val="0"/>
          <w:divBdr>
            <w:top w:val="none" w:sz="0" w:space="0" w:color="auto"/>
            <w:left w:val="none" w:sz="0" w:space="0" w:color="auto"/>
            <w:bottom w:val="none" w:sz="0" w:space="0" w:color="auto"/>
            <w:right w:val="none" w:sz="0" w:space="0" w:color="auto"/>
          </w:divBdr>
        </w:div>
        <w:div w:id="867452322">
          <w:marLeft w:val="0"/>
          <w:marRight w:val="0"/>
          <w:marTop w:val="0"/>
          <w:marBottom w:val="0"/>
          <w:divBdr>
            <w:top w:val="none" w:sz="0" w:space="0" w:color="auto"/>
            <w:left w:val="none" w:sz="0" w:space="0" w:color="auto"/>
            <w:bottom w:val="none" w:sz="0" w:space="0" w:color="auto"/>
            <w:right w:val="none" w:sz="0" w:space="0" w:color="auto"/>
          </w:divBdr>
        </w:div>
        <w:div w:id="928656028">
          <w:marLeft w:val="0"/>
          <w:marRight w:val="0"/>
          <w:marTop w:val="0"/>
          <w:marBottom w:val="0"/>
          <w:divBdr>
            <w:top w:val="none" w:sz="0" w:space="0" w:color="auto"/>
            <w:left w:val="none" w:sz="0" w:space="0" w:color="auto"/>
            <w:bottom w:val="none" w:sz="0" w:space="0" w:color="auto"/>
            <w:right w:val="none" w:sz="0" w:space="0" w:color="auto"/>
          </w:divBdr>
        </w:div>
        <w:div w:id="1009873408">
          <w:marLeft w:val="0"/>
          <w:marRight w:val="0"/>
          <w:marTop w:val="0"/>
          <w:marBottom w:val="0"/>
          <w:divBdr>
            <w:top w:val="none" w:sz="0" w:space="0" w:color="auto"/>
            <w:left w:val="none" w:sz="0" w:space="0" w:color="auto"/>
            <w:bottom w:val="none" w:sz="0" w:space="0" w:color="auto"/>
            <w:right w:val="none" w:sz="0" w:space="0" w:color="auto"/>
          </w:divBdr>
        </w:div>
        <w:div w:id="1072697902">
          <w:marLeft w:val="0"/>
          <w:marRight w:val="0"/>
          <w:marTop w:val="0"/>
          <w:marBottom w:val="0"/>
          <w:divBdr>
            <w:top w:val="none" w:sz="0" w:space="0" w:color="auto"/>
            <w:left w:val="none" w:sz="0" w:space="0" w:color="auto"/>
            <w:bottom w:val="none" w:sz="0" w:space="0" w:color="auto"/>
            <w:right w:val="none" w:sz="0" w:space="0" w:color="auto"/>
          </w:divBdr>
        </w:div>
        <w:div w:id="1078790619">
          <w:marLeft w:val="0"/>
          <w:marRight w:val="0"/>
          <w:marTop w:val="0"/>
          <w:marBottom w:val="0"/>
          <w:divBdr>
            <w:top w:val="none" w:sz="0" w:space="0" w:color="auto"/>
            <w:left w:val="none" w:sz="0" w:space="0" w:color="auto"/>
            <w:bottom w:val="none" w:sz="0" w:space="0" w:color="auto"/>
            <w:right w:val="none" w:sz="0" w:space="0" w:color="auto"/>
          </w:divBdr>
        </w:div>
        <w:div w:id="1222862167">
          <w:marLeft w:val="0"/>
          <w:marRight w:val="0"/>
          <w:marTop w:val="0"/>
          <w:marBottom w:val="0"/>
          <w:divBdr>
            <w:top w:val="none" w:sz="0" w:space="0" w:color="auto"/>
            <w:left w:val="none" w:sz="0" w:space="0" w:color="auto"/>
            <w:bottom w:val="none" w:sz="0" w:space="0" w:color="auto"/>
            <w:right w:val="none" w:sz="0" w:space="0" w:color="auto"/>
          </w:divBdr>
        </w:div>
        <w:div w:id="1231500285">
          <w:marLeft w:val="0"/>
          <w:marRight w:val="0"/>
          <w:marTop w:val="0"/>
          <w:marBottom w:val="0"/>
          <w:divBdr>
            <w:top w:val="none" w:sz="0" w:space="0" w:color="auto"/>
            <w:left w:val="none" w:sz="0" w:space="0" w:color="auto"/>
            <w:bottom w:val="none" w:sz="0" w:space="0" w:color="auto"/>
            <w:right w:val="none" w:sz="0" w:space="0" w:color="auto"/>
          </w:divBdr>
        </w:div>
        <w:div w:id="1238786163">
          <w:marLeft w:val="0"/>
          <w:marRight w:val="0"/>
          <w:marTop w:val="0"/>
          <w:marBottom w:val="0"/>
          <w:divBdr>
            <w:top w:val="none" w:sz="0" w:space="0" w:color="auto"/>
            <w:left w:val="none" w:sz="0" w:space="0" w:color="auto"/>
            <w:bottom w:val="none" w:sz="0" w:space="0" w:color="auto"/>
            <w:right w:val="none" w:sz="0" w:space="0" w:color="auto"/>
          </w:divBdr>
        </w:div>
        <w:div w:id="1246961067">
          <w:marLeft w:val="0"/>
          <w:marRight w:val="0"/>
          <w:marTop w:val="0"/>
          <w:marBottom w:val="0"/>
          <w:divBdr>
            <w:top w:val="none" w:sz="0" w:space="0" w:color="auto"/>
            <w:left w:val="none" w:sz="0" w:space="0" w:color="auto"/>
            <w:bottom w:val="none" w:sz="0" w:space="0" w:color="auto"/>
            <w:right w:val="none" w:sz="0" w:space="0" w:color="auto"/>
          </w:divBdr>
        </w:div>
        <w:div w:id="1291739706">
          <w:marLeft w:val="0"/>
          <w:marRight w:val="0"/>
          <w:marTop w:val="0"/>
          <w:marBottom w:val="0"/>
          <w:divBdr>
            <w:top w:val="none" w:sz="0" w:space="0" w:color="auto"/>
            <w:left w:val="none" w:sz="0" w:space="0" w:color="auto"/>
            <w:bottom w:val="none" w:sz="0" w:space="0" w:color="auto"/>
            <w:right w:val="none" w:sz="0" w:space="0" w:color="auto"/>
          </w:divBdr>
        </w:div>
        <w:div w:id="1390691847">
          <w:marLeft w:val="0"/>
          <w:marRight w:val="0"/>
          <w:marTop w:val="0"/>
          <w:marBottom w:val="0"/>
          <w:divBdr>
            <w:top w:val="none" w:sz="0" w:space="0" w:color="auto"/>
            <w:left w:val="none" w:sz="0" w:space="0" w:color="auto"/>
            <w:bottom w:val="none" w:sz="0" w:space="0" w:color="auto"/>
            <w:right w:val="none" w:sz="0" w:space="0" w:color="auto"/>
          </w:divBdr>
        </w:div>
        <w:div w:id="1406952491">
          <w:marLeft w:val="0"/>
          <w:marRight w:val="0"/>
          <w:marTop w:val="0"/>
          <w:marBottom w:val="0"/>
          <w:divBdr>
            <w:top w:val="none" w:sz="0" w:space="0" w:color="auto"/>
            <w:left w:val="none" w:sz="0" w:space="0" w:color="auto"/>
            <w:bottom w:val="none" w:sz="0" w:space="0" w:color="auto"/>
            <w:right w:val="none" w:sz="0" w:space="0" w:color="auto"/>
          </w:divBdr>
        </w:div>
        <w:div w:id="1426145257">
          <w:marLeft w:val="0"/>
          <w:marRight w:val="0"/>
          <w:marTop w:val="0"/>
          <w:marBottom w:val="0"/>
          <w:divBdr>
            <w:top w:val="none" w:sz="0" w:space="0" w:color="auto"/>
            <w:left w:val="none" w:sz="0" w:space="0" w:color="auto"/>
            <w:bottom w:val="none" w:sz="0" w:space="0" w:color="auto"/>
            <w:right w:val="none" w:sz="0" w:space="0" w:color="auto"/>
          </w:divBdr>
        </w:div>
        <w:div w:id="1445225029">
          <w:marLeft w:val="0"/>
          <w:marRight w:val="0"/>
          <w:marTop w:val="0"/>
          <w:marBottom w:val="0"/>
          <w:divBdr>
            <w:top w:val="none" w:sz="0" w:space="0" w:color="auto"/>
            <w:left w:val="none" w:sz="0" w:space="0" w:color="auto"/>
            <w:bottom w:val="none" w:sz="0" w:space="0" w:color="auto"/>
            <w:right w:val="none" w:sz="0" w:space="0" w:color="auto"/>
          </w:divBdr>
        </w:div>
        <w:div w:id="1493831003">
          <w:marLeft w:val="0"/>
          <w:marRight w:val="0"/>
          <w:marTop w:val="0"/>
          <w:marBottom w:val="0"/>
          <w:divBdr>
            <w:top w:val="none" w:sz="0" w:space="0" w:color="auto"/>
            <w:left w:val="none" w:sz="0" w:space="0" w:color="auto"/>
            <w:bottom w:val="none" w:sz="0" w:space="0" w:color="auto"/>
            <w:right w:val="none" w:sz="0" w:space="0" w:color="auto"/>
          </w:divBdr>
        </w:div>
        <w:div w:id="1584947794">
          <w:marLeft w:val="0"/>
          <w:marRight w:val="0"/>
          <w:marTop w:val="0"/>
          <w:marBottom w:val="0"/>
          <w:divBdr>
            <w:top w:val="none" w:sz="0" w:space="0" w:color="auto"/>
            <w:left w:val="none" w:sz="0" w:space="0" w:color="auto"/>
            <w:bottom w:val="none" w:sz="0" w:space="0" w:color="auto"/>
            <w:right w:val="none" w:sz="0" w:space="0" w:color="auto"/>
          </w:divBdr>
        </w:div>
        <w:div w:id="1638678081">
          <w:marLeft w:val="0"/>
          <w:marRight w:val="0"/>
          <w:marTop w:val="0"/>
          <w:marBottom w:val="0"/>
          <w:divBdr>
            <w:top w:val="none" w:sz="0" w:space="0" w:color="auto"/>
            <w:left w:val="none" w:sz="0" w:space="0" w:color="auto"/>
            <w:bottom w:val="none" w:sz="0" w:space="0" w:color="auto"/>
            <w:right w:val="none" w:sz="0" w:space="0" w:color="auto"/>
          </w:divBdr>
        </w:div>
        <w:div w:id="1644042370">
          <w:marLeft w:val="0"/>
          <w:marRight w:val="0"/>
          <w:marTop w:val="0"/>
          <w:marBottom w:val="0"/>
          <w:divBdr>
            <w:top w:val="none" w:sz="0" w:space="0" w:color="auto"/>
            <w:left w:val="none" w:sz="0" w:space="0" w:color="auto"/>
            <w:bottom w:val="none" w:sz="0" w:space="0" w:color="auto"/>
            <w:right w:val="none" w:sz="0" w:space="0" w:color="auto"/>
          </w:divBdr>
        </w:div>
        <w:div w:id="1761951112">
          <w:marLeft w:val="0"/>
          <w:marRight w:val="0"/>
          <w:marTop w:val="0"/>
          <w:marBottom w:val="0"/>
          <w:divBdr>
            <w:top w:val="none" w:sz="0" w:space="0" w:color="auto"/>
            <w:left w:val="none" w:sz="0" w:space="0" w:color="auto"/>
            <w:bottom w:val="none" w:sz="0" w:space="0" w:color="auto"/>
            <w:right w:val="none" w:sz="0" w:space="0" w:color="auto"/>
          </w:divBdr>
        </w:div>
        <w:div w:id="1766069557">
          <w:marLeft w:val="0"/>
          <w:marRight w:val="0"/>
          <w:marTop w:val="0"/>
          <w:marBottom w:val="0"/>
          <w:divBdr>
            <w:top w:val="none" w:sz="0" w:space="0" w:color="auto"/>
            <w:left w:val="none" w:sz="0" w:space="0" w:color="auto"/>
            <w:bottom w:val="none" w:sz="0" w:space="0" w:color="auto"/>
            <w:right w:val="none" w:sz="0" w:space="0" w:color="auto"/>
          </w:divBdr>
        </w:div>
        <w:div w:id="1862010022">
          <w:marLeft w:val="0"/>
          <w:marRight w:val="0"/>
          <w:marTop w:val="0"/>
          <w:marBottom w:val="0"/>
          <w:divBdr>
            <w:top w:val="none" w:sz="0" w:space="0" w:color="auto"/>
            <w:left w:val="none" w:sz="0" w:space="0" w:color="auto"/>
            <w:bottom w:val="none" w:sz="0" w:space="0" w:color="auto"/>
            <w:right w:val="none" w:sz="0" w:space="0" w:color="auto"/>
          </w:divBdr>
        </w:div>
        <w:div w:id="1917545780">
          <w:marLeft w:val="0"/>
          <w:marRight w:val="0"/>
          <w:marTop w:val="0"/>
          <w:marBottom w:val="0"/>
          <w:divBdr>
            <w:top w:val="none" w:sz="0" w:space="0" w:color="auto"/>
            <w:left w:val="none" w:sz="0" w:space="0" w:color="auto"/>
            <w:bottom w:val="none" w:sz="0" w:space="0" w:color="auto"/>
            <w:right w:val="none" w:sz="0" w:space="0" w:color="auto"/>
          </w:divBdr>
        </w:div>
        <w:div w:id="1975210579">
          <w:marLeft w:val="0"/>
          <w:marRight w:val="0"/>
          <w:marTop w:val="0"/>
          <w:marBottom w:val="0"/>
          <w:divBdr>
            <w:top w:val="none" w:sz="0" w:space="0" w:color="auto"/>
            <w:left w:val="none" w:sz="0" w:space="0" w:color="auto"/>
            <w:bottom w:val="none" w:sz="0" w:space="0" w:color="auto"/>
            <w:right w:val="none" w:sz="0" w:space="0" w:color="auto"/>
          </w:divBdr>
        </w:div>
        <w:div w:id="2004384172">
          <w:marLeft w:val="0"/>
          <w:marRight w:val="0"/>
          <w:marTop w:val="0"/>
          <w:marBottom w:val="0"/>
          <w:divBdr>
            <w:top w:val="none" w:sz="0" w:space="0" w:color="auto"/>
            <w:left w:val="none" w:sz="0" w:space="0" w:color="auto"/>
            <w:bottom w:val="none" w:sz="0" w:space="0" w:color="auto"/>
            <w:right w:val="none" w:sz="0" w:space="0" w:color="auto"/>
          </w:divBdr>
        </w:div>
        <w:div w:id="2040157576">
          <w:marLeft w:val="0"/>
          <w:marRight w:val="0"/>
          <w:marTop w:val="0"/>
          <w:marBottom w:val="0"/>
          <w:divBdr>
            <w:top w:val="none" w:sz="0" w:space="0" w:color="auto"/>
            <w:left w:val="none" w:sz="0" w:space="0" w:color="auto"/>
            <w:bottom w:val="none" w:sz="0" w:space="0" w:color="auto"/>
            <w:right w:val="none" w:sz="0" w:space="0" w:color="auto"/>
          </w:divBdr>
        </w:div>
        <w:div w:id="2077510017">
          <w:marLeft w:val="0"/>
          <w:marRight w:val="0"/>
          <w:marTop w:val="0"/>
          <w:marBottom w:val="0"/>
          <w:divBdr>
            <w:top w:val="none" w:sz="0" w:space="0" w:color="auto"/>
            <w:left w:val="none" w:sz="0" w:space="0" w:color="auto"/>
            <w:bottom w:val="none" w:sz="0" w:space="0" w:color="auto"/>
            <w:right w:val="none" w:sz="0" w:space="0" w:color="auto"/>
          </w:divBdr>
        </w:div>
        <w:div w:id="2080053212">
          <w:marLeft w:val="0"/>
          <w:marRight w:val="0"/>
          <w:marTop w:val="0"/>
          <w:marBottom w:val="0"/>
          <w:divBdr>
            <w:top w:val="none" w:sz="0" w:space="0" w:color="auto"/>
            <w:left w:val="none" w:sz="0" w:space="0" w:color="auto"/>
            <w:bottom w:val="none" w:sz="0" w:space="0" w:color="auto"/>
            <w:right w:val="none" w:sz="0" w:space="0" w:color="auto"/>
          </w:divBdr>
        </w:div>
      </w:divsChild>
    </w:div>
    <w:div w:id="1712459278">
      <w:bodyDiv w:val="1"/>
      <w:marLeft w:val="0"/>
      <w:marRight w:val="0"/>
      <w:marTop w:val="0"/>
      <w:marBottom w:val="0"/>
      <w:divBdr>
        <w:top w:val="none" w:sz="0" w:space="0" w:color="auto"/>
        <w:left w:val="none" w:sz="0" w:space="0" w:color="auto"/>
        <w:bottom w:val="none" w:sz="0" w:space="0" w:color="auto"/>
        <w:right w:val="none" w:sz="0" w:space="0" w:color="auto"/>
      </w:divBdr>
      <w:divsChild>
        <w:div w:id="774056199">
          <w:marLeft w:val="0"/>
          <w:marRight w:val="0"/>
          <w:marTop w:val="0"/>
          <w:marBottom w:val="0"/>
          <w:divBdr>
            <w:top w:val="none" w:sz="0" w:space="0" w:color="auto"/>
            <w:left w:val="none" w:sz="0" w:space="0" w:color="auto"/>
            <w:bottom w:val="none" w:sz="0" w:space="0" w:color="auto"/>
            <w:right w:val="none" w:sz="0" w:space="0" w:color="auto"/>
          </w:divBdr>
        </w:div>
        <w:div w:id="1083137747">
          <w:marLeft w:val="0"/>
          <w:marRight w:val="0"/>
          <w:marTop w:val="0"/>
          <w:marBottom w:val="0"/>
          <w:divBdr>
            <w:top w:val="none" w:sz="0" w:space="0" w:color="auto"/>
            <w:left w:val="none" w:sz="0" w:space="0" w:color="auto"/>
            <w:bottom w:val="none" w:sz="0" w:space="0" w:color="auto"/>
            <w:right w:val="none" w:sz="0" w:space="0" w:color="auto"/>
          </w:divBdr>
        </w:div>
        <w:div w:id="1922253320">
          <w:marLeft w:val="0"/>
          <w:marRight w:val="0"/>
          <w:marTop w:val="0"/>
          <w:marBottom w:val="0"/>
          <w:divBdr>
            <w:top w:val="none" w:sz="0" w:space="0" w:color="auto"/>
            <w:left w:val="none" w:sz="0" w:space="0" w:color="auto"/>
            <w:bottom w:val="none" w:sz="0" w:space="0" w:color="auto"/>
            <w:right w:val="none" w:sz="0" w:space="0" w:color="auto"/>
          </w:divBdr>
        </w:div>
      </w:divsChild>
    </w:div>
    <w:div w:id="1713581061">
      <w:bodyDiv w:val="1"/>
      <w:marLeft w:val="0"/>
      <w:marRight w:val="0"/>
      <w:marTop w:val="0"/>
      <w:marBottom w:val="0"/>
      <w:divBdr>
        <w:top w:val="none" w:sz="0" w:space="0" w:color="auto"/>
        <w:left w:val="none" w:sz="0" w:space="0" w:color="auto"/>
        <w:bottom w:val="none" w:sz="0" w:space="0" w:color="auto"/>
        <w:right w:val="none" w:sz="0" w:space="0" w:color="auto"/>
      </w:divBdr>
    </w:div>
    <w:div w:id="1733237624">
      <w:bodyDiv w:val="1"/>
      <w:marLeft w:val="0"/>
      <w:marRight w:val="0"/>
      <w:marTop w:val="0"/>
      <w:marBottom w:val="0"/>
      <w:divBdr>
        <w:top w:val="none" w:sz="0" w:space="0" w:color="auto"/>
        <w:left w:val="none" w:sz="0" w:space="0" w:color="auto"/>
        <w:bottom w:val="none" w:sz="0" w:space="0" w:color="auto"/>
        <w:right w:val="none" w:sz="0" w:space="0" w:color="auto"/>
      </w:divBdr>
      <w:divsChild>
        <w:div w:id="169755366">
          <w:marLeft w:val="274"/>
          <w:marRight w:val="0"/>
          <w:marTop w:val="0"/>
          <w:marBottom w:val="0"/>
          <w:divBdr>
            <w:top w:val="none" w:sz="0" w:space="0" w:color="auto"/>
            <w:left w:val="none" w:sz="0" w:space="0" w:color="auto"/>
            <w:bottom w:val="none" w:sz="0" w:space="0" w:color="auto"/>
            <w:right w:val="none" w:sz="0" w:space="0" w:color="auto"/>
          </w:divBdr>
        </w:div>
        <w:div w:id="704867660">
          <w:marLeft w:val="274"/>
          <w:marRight w:val="0"/>
          <w:marTop w:val="0"/>
          <w:marBottom w:val="0"/>
          <w:divBdr>
            <w:top w:val="none" w:sz="0" w:space="0" w:color="auto"/>
            <w:left w:val="none" w:sz="0" w:space="0" w:color="auto"/>
            <w:bottom w:val="none" w:sz="0" w:space="0" w:color="auto"/>
            <w:right w:val="none" w:sz="0" w:space="0" w:color="auto"/>
          </w:divBdr>
        </w:div>
        <w:div w:id="1294797255">
          <w:marLeft w:val="274"/>
          <w:marRight w:val="0"/>
          <w:marTop w:val="0"/>
          <w:marBottom w:val="0"/>
          <w:divBdr>
            <w:top w:val="none" w:sz="0" w:space="0" w:color="auto"/>
            <w:left w:val="none" w:sz="0" w:space="0" w:color="auto"/>
            <w:bottom w:val="none" w:sz="0" w:space="0" w:color="auto"/>
            <w:right w:val="none" w:sz="0" w:space="0" w:color="auto"/>
          </w:divBdr>
        </w:div>
        <w:div w:id="1481994579">
          <w:marLeft w:val="274"/>
          <w:marRight w:val="0"/>
          <w:marTop w:val="0"/>
          <w:marBottom w:val="0"/>
          <w:divBdr>
            <w:top w:val="none" w:sz="0" w:space="0" w:color="auto"/>
            <w:left w:val="none" w:sz="0" w:space="0" w:color="auto"/>
            <w:bottom w:val="none" w:sz="0" w:space="0" w:color="auto"/>
            <w:right w:val="none" w:sz="0" w:space="0" w:color="auto"/>
          </w:divBdr>
        </w:div>
        <w:div w:id="1774593688">
          <w:marLeft w:val="274"/>
          <w:marRight w:val="0"/>
          <w:marTop w:val="0"/>
          <w:marBottom w:val="0"/>
          <w:divBdr>
            <w:top w:val="none" w:sz="0" w:space="0" w:color="auto"/>
            <w:left w:val="none" w:sz="0" w:space="0" w:color="auto"/>
            <w:bottom w:val="none" w:sz="0" w:space="0" w:color="auto"/>
            <w:right w:val="none" w:sz="0" w:space="0" w:color="auto"/>
          </w:divBdr>
        </w:div>
      </w:divsChild>
    </w:div>
    <w:div w:id="1752969495">
      <w:bodyDiv w:val="1"/>
      <w:marLeft w:val="0"/>
      <w:marRight w:val="0"/>
      <w:marTop w:val="0"/>
      <w:marBottom w:val="0"/>
      <w:divBdr>
        <w:top w:val="none" w:sz="0" w:space="0" w:color="auto"/>
        <w:left w:val="none" w:sz="0" w:space="0" w:color="auto"/>
        <w:bottom w:val="none" w:sz="0" w:space="0" w:color="auto"/>
        <w:right w:val="none" w:sz="0" w:space="0" w:color="auto"/>
      </w:divBdr>
      <w:divsChild>
        <w:div w:id="410665341">
          <w:marLeft w:val="0"/>
          <w:marRight w:val="0"/>
          <w:marTop w:val="0"/>
          <w:marBottom w:val="0"/>
          <w:divBdr>
            <w:top w:val="none" w:sz="0" w:space="0" w:color="auto"/>
            <w:left w:val="none" w:sz="0" w:space="0" w:color="auto"/>
            <w:bottom w:val="none" w:sz="0" w:space="0" w:color="auto"/>
            <w:right w:val="none" w:sz="0" w:space="0" w:color="auto"/>
          </w:divBdr>
        </w:div>
        <w:div w:id="609900823">
          <w:marLeft w:val="0"/>
          <w:marRight w:val="0"/>
          <w:marTop w:val="0"/>
          <w:marBottom w:val="0"/>
          <w:divBdr>
            <w:top w:val="none" w:sz="0" w:space="0" w:color="auto"/>
            <w:left w:val="none" w:sz="0" w:space="0" w:color="auto"/>
            <w:bottom w:val="none" w:sz="0" w:space="0" w:color="auto"/>
            <w:right w:val="none" w:sz="0" w:space="0" w:color="auto"/>
          </w:divBdr>
        </w:div>
        <w:div w:id="1653827338">
          <w:marLeft w:val="0"/>
          <w:marRight w:val="0"/>
          <w:marTop w:val="0"/>
          <w:marBottom w:val="0"/>
          <w:divBdr>
            <w:top w:val="none" w:sz="0" w:space="0" w:color="auto"/>
            <w:left w:val="none" w:sz="0" w:space="0" w:color="auto"/>
            <w:bottom w:val="none" w:sz="0" w:space="0" w:color="auto"/>
            <w:right w:val="none" w:sz="0" w:space="0" w:color="auto"/>
          </w:divBdr>
        </w:div>
      </w:divsChild>
    </w:div>
    <w:div w:id="1762413437">
      <w:bodyDiv w:val="1"/>
      <w:marLeft w:val="0"/>
      <w:marRight w:val="0"/>
      <w:marTop w:val="0"/>
      <w:marBottom w:val="0"/>
      <w:divBdr>
        <w:top w:val="none" w:sz="0" w:space="0" w:color="auto"/>
        <w:left w:val="none" w:sz="0" w:space="0" w:color="auto"/>
        <w:bottom w:val="none" w:sz="0" w:space="0" w:color="auto"/>
        <w:right w:val="none" w:sz="0" w:space="0" w:color="auto"/>
      </w:divBdr>
      <w:divsChild>
        <w:div w:id="103497584">
          <w:marLeft w:val="0"/>
          <w:marRight w:val="0"/>
          <w:marTop w:val="0"/>
          <w:marBottom w:val="0"/>
          <w:divBdr>
            <w:top w:val="none" w:sz="0" w:space="0" w:color="auto"/>
            <w:left w:val="none" w:sz="0" w:space="0" w:color="auto"/>
            <w:bottom w:val="none" w:sz="0" w:space="0" w:color="auto"/>
            <w:right w:val="none" w:sz="0" w:space="0" w:color="auto"/>
          </w:divBdr>
        </w:div>
        <w:div w:id="147551303">
          <w:marLeft w:val="0"/>
          <w:marRight w:val="0"/>
          <w:marTop w:val="0"/>
          <w:marBottom w:val="0"/>
          <w:divBdr>
            <w:top w:val="none" w:sz="0" w:space="0" w:color="auto"/>
            <w:left w:val="none" w:sz="0" w:space="0" w:color="auto"/>
            <w:bottom w:val="none" w:sz="0" w:space="0" w:color="auto"/>
            <w:right w:val="none" w:sz="0" w:space="0" w:color="auto"/>
          </w:divBdr>
        </w:div>
        <w:div w:id="259988203">
          <w:marLeft w:val="0"/>
          <w:marRight w:val="0"/>
          <w:marTop w:val="0"/>
          <w:marBottom w:val="0"/>
          <w:divBdr>
            <w:top w:val="none" w:sz="0" w:space="0" w:color="auto"/>
            <w:left w:val="none" w:sz="0" w:space="0" w:color="auto"/>
            <w:bottom w:val="none" w:sz="0" w:space="0" w:color="auto"/>
            <w:right w:val="none" w:sz="0" w:space="0" w:color="auto"/>
          </w:divBdr>
        </w:div>
        <w:div w:id="313264481">
          <w:marLeft w:val="0"/>
          <w:marRight w:val="0"/>
          <w:marTop w:val="0"/>
          <w:marBottom w:val="0"/>
          <w:divBdr>
            <w:top w:val="none" w:sz="0" w:space="0" w:color="auto"/>
            <w:left w:val="none" w:sz="0" w:space="0" w:color="auto"/>
            <w:bottom w:val="none" w:sz="0" w:space="0" w:color="auto"/>
            <w:right w:val="none" w:sz="0" w:space="0" w:color="auto"/>
          </w:divBdr>
        </w:div>
        <w:div w:id="510996089">
          <w:marLeft w:val="0"/>
          <w:marRight w:val="0"/>
          <w:marTop w:val="0"/>
          <w:marBottom w:val="0"/>
          <w:divBdr>
            <w:top w:val="none" w:sz="0" w:space="0" w:color="auto"/>
            <w:left w:val="none" w:sz="0" w:space="0" w:color="auto"/>
            <w:bottom w:val="none" w:sz="0" w:space="0" w:color="auto"/>
            <w:right w:val="none" w:sz="0" w:space="0" w:color="auto"/>
          </w:divBdr>
        </w:div>
        <w:div w:id="525336741">
          <w:marLeft w:val="0"/>
          <w:marRight w:val="0"/>
          <w:marTop w:val="0"/>
          <w:marBottom w:val="0"/>
          <w:divBdr>
            <w:top w:val="none" w:sz="0" w:space="0" w:color="auto"/>
            <w:left w:val="none" w:sz="0" w:space="0" w:color="auto"/>
            <w:bottom w:val="none" w:sz="0" w:space="0" w:color="auto"/>
            <w:right w:val="none" w:sz="0" w:space="0" w:color="auto"/>
          </w:divBdr>
        </w:div>
        <w:div w:id="526216829">
          <w:marLeft w:val="0"/>
          <w:marRight w:val="0"/>
          <w:marTop w:val="0"/>
          <w:marBottom w:val="0"/>
          <w:divBdr>
            <w:top w:val="none" w:sz="0" w:space="0" w:color="auto"/>
            <w:left w:val="none" w:sz="0" w:space="0" w:color="auto"/>
            <w:bottom w:val="none" w:sz="0" w:space="0" w:color="auto"/>
            <w:right w:val="none" w:sz="0" w:space="0" w:color="auto"/>
          </w:divBdr>
        </w:div>
        <w:div w:id="534462938">
          <w:marLeft w:val="0"/>
          <w:marRight w:val="0"/>
          <w:marTop w:val="0"/>
          <w:marBottom w:val="0"/>
          <w:divBdr>
            <w:top w:val="none" w:sz="0" w:space="0" w:color="auto"/>
            <w:left w:val="none" w:sz="0" w:space="0" w:color="auto"/>
            <w:bottom w:val="none" w:sz="0" w:space="0" w:color="auto"/>
            <w:right w:val="none" w:sz="0" w:space="0" w:color="auto"/>
          </w:divBdr>
        </w:div>
        <w:div w:id="577180279">
          <w:marLeft w:val="0"/>
          <w:marRight w:val="0"/>
          <w:marTop w:val="0"/>
          <w:marBottom w:val="0"/>
          <w:divBdr>
            <w:top w:val="none" w:sz="0" w:space="0" w:color="auto"/>
            <w:left w:val="none" w:sz="0" w:space="0" w:color="auto"/>
            <w:bottom w:val="none" w:sz="0" w:space="0" w:color="auto"/>
            <w:right w:val="none" w:sz="0" w:space="0" w:color="auto"/>
          </w:divBdr>
        </w:div>
        <w:div w:id="587153664">
          <w:marLeft w:val="0"/>
          <w:marRight w:val="0"/>
          <w:marTop w:val="0"/>
          <w:marBottom w:val="0"/>
          <w:divBdr>
            <w:top w:val="none" w:sz="0" w:space="0" w:color="auto"/>
            <w:left w:val="none" w:sz="0" w:space="0" w:color="auto"/>
            <w:bottom w:val="none" w:sz="0" w:space="0" w:color="auto"/>
            <w:right w:val="none" w:sz="0" w:space="0" w:color="auto"/>
          </w:divBdr>
        </w:div>
        <w:div w:id="614334616">
          <w:marLeft w:val="0"/>
          <w:marRight w:val="0"/>
          <w:marTop w:val="0"/>
          <w:marBottom w:val="0"/>
          <w:divBdr>
            <w:top w:val="none" w:sz="0" w:space="0" w:color="auto"/>
            <w:left w:val="none" w:sz="0" w:space="0" w:color="auto"/>
            <w:bottom w:val="none" w:sz="0" w:space="0" w:color="auto"/>
            <w:right w:val="none" w:sz="0" w:space="0" w:color="auto"/>
          </w:divBdr>
        </w:div>
        <w:div w:id="619339404">
          <w:marLeft w:val="0"/>
          <w:marRight w:val="0"/>
          <w:marTop w:val="0"/>
          <w:marBottom w:val="0"/>
          <w:divBdr>
            <w:top w:val="none" w:sz="0" w:space="0" w:color="auto"/>
            <w:left w:val="none" w:sz="0" w:space="0" w:color="auto"/>
            <w:bottom w:val="none" w:sz="0" w:space="0" w:color="auto"/>
            <w:right w:val="none" w:sz="0" w:space="0" w:color="auto"/>
          </w:divBdr>
        </w:div>
        <w:div w:id="640162075">
          <w:marLeft w:val="0"/>
          <w:marRight w:val="0"/>
          <w:marTop w:val="0"/>
          <w:marBottom w:val="0"/>
          <w:divBdr>
            <w:top w:val="none" w:sz="0" w:space="0" w:color="auto"/>
            <w:left w:val="none" w:sz="0" w:space="0" w:color="auto"/>
            <w:bottom w:val="none" w:sz="0" w:space="0" w:color="auto"/>
            <w:right w:val="none" w:sz="0" w:space="0" w:color="auto"/>
          </w:divBdr>
        </w:div>
        <w:div w:id="881669737">
          <w:marLeft w:val="0"/>
          <w:marRight w:val="0"/>
          <w:marTop w:val="0"/>
          <w:marBottom w:val="0"/>
          <w:divBdr>
            <w:top w:val="none" w:sz="0" w:space="0" w:color="auto"/>
            <w:left w:val="none" w:sz="0" w:space="0" w:color="auto"/>
            <w:bottom w:val="none" w:sz="0" w:space="0" w:color="auto"/>
            <w:right w:val="none" w:sz="0" w:space="0" w:color="auto"/>
          </w:divBdr>
        </w:div>
        <w:div w:id="885917525">
          <w:marLeft w:val="0"/>
          <w:marRight w:val="0"/>
          <w:marTop w:val="0"/>
          <w:marBottom w:val="0"/>
          <w:divBdr>
            <w:top w:val="none" w:sz="0" w:space="0" w:color="auto"/>
            <w:left w:val="none" w:sz="0" w:space="0" w:color="auto"/>
            <w:bottom w:val="none" w:sz="0" w:space="0" w:color="auto"/>
            <w:right w:val="none" w:sz="0" w:space="0" w:color="auto"/>
          </w:divBdr>
        </w:div>
        <w:div w:id="1012223278">
          <w:marLeft w:val="0"/>
          <w:marRight w:val="0"/>
          <w:marTop w:val="0"/>
          <w:marBottom w:val="0"/>
          <w:divBdr>
            <w:top w:val="none" w:sz="0" w:space="0" w:color="auto"/>
            <w:left w:val="none" w:sz="0" w:space="0" w:color="auto"/>
            <w:bottom w:val="none" w:sz="0" w:space="0" w:color="auto"/>
            <w:right w:val="none" w:sz="0" w:space="0" w:color="auto"/>
          </w:divBdr>
        </w:div>
        <w:div w:id="1091196850">
          <w:marLeft w:val="0"/>
          <w:marRight w:val="0"/>
          <w:marTop w:val="0"/>
          <w:marBottom w:val="0"/>
          <w:divBdr>
            <w:top w:val="none" w:sz="0" w:space="0" w:color="auto"/>
            <w:left w:val="none" w:sz="0" w:space="0" w:color="auto"/>
            <w:bottom w:val="none" w:sz="0" w:space="0" w:color="auto"/>
            <w:right w:val="none" w:sz="0" w:space="0" w:color="auto"/>
          </w:divBdr>
        </w:div>
        <w:div w:id="1137452087">
          <w:marLeft w:val="0"/>
          <w:marRight w:val="0"/>
          <w:marTop w:val="0"/>
          <w:marBottom w:val="0"/>
          <w:divBdr>
            <w:top w:val="none" w:sz="0" w:space="0" w:color="auto"/>
            <w:left w:val="none" w:sz="0" w:space="0" w:color="auto"/>
            <w:bottom w:val="none" w:sz="0" w:space="0" w:color="auto"/>
            <w:right w:val="none" w:sz="0" w:space="0" w:color="auto"/>
          </w:divBdr>
        </w:div>
        <w:div w:id="1204560949">
          <w:marLeft w:val="0"/>
          <w:marRight w:val="0"/>
          <w:marTop w:val="0"/>
          <w:marBottom w:val="0"/>
          <w:divBdr>
            <w:top w:val="none" w:sz="0" w:space="0" w:color="auto"/>
            <w:left w:val="none" w:sz="0" w:space="0" w:color="auto"/>
            <w:bottom w:val="none" w:sz="0" w:space="0" w:color="auto"/>
            <w:right w:val="none" w:sz="0" w:space="0" w:color="auto"/>
          </w:divBdr>
        </w:div>
        <w:div w:id="1227641145">
          <w:marLeft w:val="0"/>
          <w:marRight w:val="0"/>
          <w:marTop w:val="0"/>
          <w:marBottom w:val="0"/>
          <w:divBdr>
            <w:top w:val="none" w:sz="0" w:space="0" w:color="auto"/>
            <w:left w:val="none" w:sz="0" w:space="0" w:color="auto"/>
            <w:bottom w:val="none" w:sz="0" w:space="0" w:color="auto"/>
            <w:right w:val="none" w:sz="0" w:space="0" w:color="auto"/>
          </w:divBdr>
        </w:div>
        <w:div w:id="1248154818">
          <w:marLeft w:val="0"/>
          <w:marRight w:val="0"/>
          <w:marTop w:val="0"/>
          <w:marBottom w:val="0"/>
          <w:divBdr>
            <w:top w:val="none" w:sz="0" w:space="0" w:color="auto"/>
            <w:left w:val="none" w:sz="0" w:space="0" w:color="auto"/>
            <w:bottom w:val="none" w:sz="0" w:space="0" w:color="auto"/>
            <w:right w:val="none" w:sz="0" w:space="0" w:color="auto"/>
          </w:divBdr>
        </w:div>
        <w:div w:id="1273052280">
          <w:marLeft w:val="0"/>
          <w:marRight w:val="0"/>
          <w:marTop w:val="0"/>
          <w:marBottom w:val="0"/>
          <w:divBdr>
            <w:top w:val="none" w:sz="0" w:space="0" w:color="auto"/>
            <w:left w:val="none" w:sz="0" w:space="0" w:color="auto"/>
            <w:bottom w:val="none" w:sz="0" w:space="0" w:color="auto"/>
            <w:right w:val="none" w:sz="0" w:space="0" w:color="auto"/>
          </w:divBdr>
        </w:div>
        <w:div w:id="1302660078">
          <w:marLeft w:val="0"/>
          <w:marRight w:val="0"/>
          <w:marTop w:val="0"/>
          <w:marBottom w:val="0"/>
          <w:divBdr>
            <w:top w:val="none" w:sz="0" w:space="0" w:color="auto"/>
            <w:left w:val="none" w:sz="0" w:space="0" w:color="auto"/>
            <w:bottom w:val="none" w:sz="0" w:space="0" w:color="auto"/>
            <w:right w:val="none" w:sz="0" w:space="0" w:color="auto"/>
          </w:divBdr>
        </w:div>
        <w:div w:id="1420911270">
          <w:marLeft w:val="0"/>
          <w:marRight w:val="0"/>
          <w:marTop w:val="0"/>
          <w:marBottom w:val="0"/>
          <w:divBdr>
            <w:top w:val="none" w:sz="0" w:space="0" w:color="auto"/>
            <w:left w:val="none" w:sz="0" w:space="0" w:color="auto"/>
            <w:bottom w:val="none" w:sz="0" w:space="0" w:color="auto"/>
            <w:right w:val="none" w:sz="0" w:space="0" w:color="auto"/>
          </w:divBdr>
        </w:div>
        <w:div w:id="1455631336">
          <w:marLeft w:val="0"/>
          <w:marRight w:val="0"/>
          <w:marTop w:val="0"/>
          <w:marBottom w:val="0"/>
          <w:divBdr>
            <w:top w:val="none" w:sz="0" w:space="0" w:color="auto"/>
            <w:left w:val="none" w:sz="0" w:space="0" w:color="auto"/>
            <w:bottom w:val="none" w:sz="0" w:space="0" w:color="auto"/>
            <w:right w:val="none" w:sz="0" w:space="0" w:color="auto"/>
          </w:divBdr>
        </w:div>
        <w:div w:id="1481654070">
          <w:marLeft w:val="0"/>
          <w:marRight w:val="0"/>
          <w:marTop w:val="0"/>
          <w:marBottom w:val="0"/>
          <w:divBdr>
            <w:top w:val="none" w:sz="0" w:space="0" w:color="auto"/>
            <w:left w:val="none" w:sz="0" w:space="0" w:color="auto"/>
            <w:bottom w:val="none" w:sz="0" w:space="0" w:color="auto"/>
            <w:right w:val="none" w:sz="0" w:space="0" w:color="auto"/>
          </w:divBdr>
        </w:div>
        <w:div w:id="1535191357">
          <w:marLeft w:val="0"/>
          <w:marRight w:val="0"/>
          <w:marTop w:val="0"/>
          <w:marBottom w:val="0"/>
          <w:divBdr>
            <w:top w:val="none" w:sz="0" w:space="0" w:color="auto"/>
            <w:left w:val="none" w:sz="0" w:space="0" w:color="auto"/>
            <w:bottom w:val="none" w:sz="0" w:space="0" w:color="auto"/>
            <w:right w:val="none" w:sz="0" w:space="0" w:color="auto"/>
          </w:divBdr>
        </w:div>
        <w:div w:id="1546672066">
          <w:marLeft w:val="0"/>
          <w:marRight w:val="0"/>
          <w:marTop w:val="0"/>
          <w:marBottom w:val="0"/>
          <w:divBdr>
            <w:top w:val="none" w:sz="0" w:space="0" w:color="auto"/>
            <w:left w:val="none" w:sz="0" w:space="0" w:color="auto"/>
            <w:bottom w:val="none" w:sz="0" w:space="0" w:color="auto"/>
            <w:right w:val="none" w:sz="0" w:space="0" w:color="auto"/>
          </w:divBdr>
        </w:div>
        <w:div w:id="1623608458">
          <w:marLeft w:val="0"/>
          <w:marRight w:val="0"/>
          <w:marTop w:val="0"/>
          <w:marBottom w:val="0"/>
          <w:divBdr>
            <w:top w:val="none" w:sz="0" w:space="0" w:color="auto"/>
            <w:left w:val="none" w:sz="0" w:space="0" w:color="auto"/>
            <w:bottom w:val="none" w:sz="0" w:space="0" w:color="auto"/>
            <w:right w:val="none" w:sz="0" w:space="0" w:color="auto"/>
          </w:divBdr>
        </w:div>
        <w:div w:id="1719744508">
          <w:marLeft w:val="0"/>
          <w:marRight w:val="0"/>
          <w:marTop w:val="0"/>
          <w:marBottom w:val="0"/>
          <w:divBdr>
            <w:top w:val="none" w:sz="0" w:space="0" w:color="auto"/>
            <w:left w:val="none" w:sz="0" w:space="0" w:color="auto"/>
            <w:bottom w:val="none" w:sz="0" w:space="0" w:color="auto"/>
            <w:right w:val="none" w:sz="0" w:space="0" w:color="auto"/>
          </w:divBdr>
        </w:div>
        <w:div w:id="1753117121">
          <w:marLeft w:val="0"/>
          <w:marRight w:val="0"/>
          <w:marTop w:val="0"/>
          <w:marBottom w:val="0"/>
          <w:divBdr>
            <w:top w:val="none" w:sz="0" w:space="0" w:color="auto"/>
            <w:left w:val="none" w:sz="0" w:space="0" w:color="auto"/>
            <w:bottom w:val="none" w:sz="0" w:space="0" w:color="auto"/>
            <w:right w:val="none" w:sz="0" w:space="0" w:color="auto"/>
          </w:divBdr>
        </w:div>
        <w:div w:id="1764648418">
          <w:marLeft w:val="0"/>
          <w:marRight w:val="0"/>
          <w:marTop w:val="0"/>
          <w:marBottom w:val="0"/>
          <w:divBdr>
            <w:top w:val="none" w:sz="0" w:space="0" w:color="auto"/>
            <w:left w:val="none" w:sz="0" w:space="0" w:color="auto"/>
            <w:bottom w:val="none" w:sz="0" w:space="0" w:color="auto"/>
            <w:right w:val="none" w:sz="0" w:space="0" w:color="auto"/>
          </w:divBdr>
        </w:div>
        <w:div w:id="1814835721">
          <w:marLeft w:val="0"/>
          <w:marRight w:val="0"/>
          <w:marTop w:val="0"/>
          <w:marBottom w:val="0"/>
          <w:divBdr>
            <w:top w:val="none" w:sz="0" w:space="0" w:color="auto"/>
            <w:left w:val="none" w:sz="0" w:space="0" w:color="auto"/>
            <w:bottom w:val="none" w:sz="0" w:space="0" w:color="auto"/>
            <w:right w:val="none" w:sz="0" w:space="0" w:color="auto"/>
          </w:divBdr>
        </w:div>
        <w:div w:id="1877809792">
          <w:marLeft w:val="0"/>
          <w:marRight w:val="0"/>
          <w:marTop w:val="0"/>
          <w:marBottom w:val="0"/>
          <w:divBdr>
            <w:top w:val="none" w:sz="0" w:space="0" w:color="auto"/>
            <w:left w:val="none" w:sz="0" w:space="0" w:color="auto"/>
            <w:bottom w:val="none" w:sz="0" w:space="0" w:color="auto"/>
            <w:right w:val="none" w:sz="0" w:space="0" w:color="auto"/>
          </w:divBdr>
        </w:div>
        <w:div w:id="1991591257">
          <w:marLeft w:val="0"/>
          <w:marRight w:val="0"/>
          <w:marTop w:val="0"/>
          <w:marBottom w:val="0"/>
          <w:divBdr>
            <w:top w:val="none" w:sz="0" w:space="0" w:color="auto"/>
            <w:left w:val="none" w:sz="0" w:space="0" w:color="auto"/>
            <w:bottom w:val="none" w:sz="0" w:space="0" w:color="auto"/>
            <w:right w:val="none" w:sz="0" w:space="0" w:color="auto"/>
          </w:divBdr>
        </w:div>
        <w:div w:id="2030718424">
          <w:marLeft w:val="0"/>
          <w:marRight w:val="0"/>
          <w:marTop w:val="0"/>
          <w:marBottom w:val="0"/>
          <w:divBdr>
            <w:top w:val="none" w:sz="0" w:space="0" w:color="auto"/>
            <w:left w:val="none" w:sz="0" w:space="0" w:color="auto"/>
            <w:bottom w:val="none" w:sz="0" w:space="0" w:color="auto"/>
            <w:right w:val="none" w:sz="0" w:space="0" w:color="auto"/>
          </w:divBdr>
        </w:div>
        <w:div w:id="2057775486">
          <w:marLeft w:val="0"/>
          <w:marRight w:val="0"/>
          <w:marTop w:val="0"/>
          <w:marBottom w:val="0"/>
          <w:divBdr>
            <w:top w:val="none" w:sz="0" w:space="0" w:color="auto"/>
            <w:left w:val="none" w:sz="0" w:space="0" w:color="auto"/>
            <w:bottom w:val="none" w:sz="0" w:space="0" w:color="auto"/>
            <w:right w:val="none" w:sz="0" w:space="0" w:color="auto"/>
          </w:divBdr>
        </w:div>
        <w:div w:id="2069692672">
          <w:marLeft w:val="0"/>
          <w:marRight w:val="0"/>
          <w:marTop w:val="0"/>
          <w:marBottom w:val="0"/>
          <w:divBdr>
            <w:top w:val="none" w:sz="0" w:space="0" w:color="auto"/>
            <w:left w:val="none" w:sz="0" w:space="0" w:color="auto"/>
            <w:bottom w:val="none" w:sz="0" w:space="0" w:color="auto"/>
            <w:right w:val="none" w:sz="0" w:space="0" w:color="auto"/>
          </w:divBdr>
        </w:div>
        <w:div w:id="2073918142">
          <w:marLeft w:val="0"/>
          <w:marRight w:val="0"/>
          <w:marTop w:val="0"/>
          <w:marBottom w:val="0"/>
          <w:divBdr>
            <w:top w:val="none" w:sz="0" w:space="0" w:color="auto"/>
            <w:left w:val="none" w:sz="0" w:space="0" w:color="auto"/>
            <w:bottom w:val="none" w:sz="0" w:space="0" w:color="auto"/>
            <w:right w:val="none" w:sz="0" w:space="0" w:color="auto"/>
          </w:divBdr>
        </w:div>
        <w:div w:id="2077775478">
          <w:marLeft w:val="0"/>
          <w:marRight w:val="0"/>
          <w:marTop w:val="0"/>
          <w:marBottom w:val="0"/>
          <w:divBdr>
            <w:top w:val="none" w:sz="0" w:space="0" w:color="auto"/>
            <w:left w:val="none" w:sz="0" w:space="0" w:color="auto"/>
            <w:bottom w:val="none" w:sz="0" w:space="0" w:color="auto"/>
            <w:right w:val="none" w:sz="0" w:space="0" w:color="auto"/>
          </w:divBdr>
        </w:div>
      </w:divsChild>
    </w:div>
    <w:div w:id="1766923876">
      <w:bodyDiv w:val="1"/>
      <w:marLeft w:val="0"/>
      <w:marRight w:val="0"/>
      <w:marTop w:val="0"/>
      <w:marBottom w:val="0"/>
      <w:divBdr>
        <w:top w:val="none" w:sz="0" w:space="0" w:color="auto"/>
        <w:left w:val="none" w:sz="0" w:space="0" w:color="auto"/>
        <w:bottom w:val="none" w:sz="0" w:space="0" w:color="auto"/>
        <w:right w:val="none" w:sz="0" w:space="0" w:color="auto"/>
      </w:divBdr>
    </w:div>
    <w:div w:id="1862931211">
      <w:bodyDiv w:val="1"/>
      <w:marLeft w:val="0"/>
      <w:marRight w:val="0"/>
      <w:marTop w:val="0"/>
      <w:marBottom w:val="0"/>
      <w:divBdr>
        <w:top w:val="none" w:sz="0" w:space="0" w:color="auto"/>
        <w:left w:val="none" w:sz="0" w:space="0" w:color="auto"/>
        <w:bottom w:val="none" w:sz="0" w:space="0" w:color="auto"/>
        <w:right w:val="none" w:sz="0" w:space="0" w:color="auto"/>
      </w:divBdr>
    </w:div>
    <w:div w:id="1871721604">
      <w:bodyDiv w:val="1"/>
      <w:marLeft w:val="0"/>
      <w:marRight w:val="0"/>
      <w:marTop w:val="0"/>
      <w:marBottom w:val="0"/>
      <w:divBdr>
        <w:top w:val="none" w:sz="0" w:space="0" w:color="auto"/>
        <w:left w:val="none" w:sz="0" w:space="0" w:color="auto"/>
        <w:bottom w:val="none" w:sz="0" w:space="0" w:color="auto"/>
        <w:right w:val="none" w:sz="0" w:space="0" w:color="auto"/>
      </w:divBdr>
      <w:divsChild>
        <w:div w:id="96296996">
          <w:marLeft w:val="0"/>
          <w:marRight w:val="0"/>
          <w:marTop w:val="0"/>
          <w:marBottom w:val="0"/>
          <w:divBdr>
            <w:top w:val="none" w:sz="0" w:space="0" w:color="auto"/>
            <w:left w:val="none" w:sz="0" w:space="0" w:color="auto"/>
            <w:bottom w:val="none" w:sz="0" w:space="0" w:color="auto"/>
            <w:right w:val="none" w:sz="0" w:space="0" w:color="auto"/>
          </w:divBdr>
        </w:div>
        <w:div w:id="101457159">
          <w:marLeft w:val="0"/>
          <w:marRight w:val="0"/>
          <w:marTop w:val="0"/>
          <w:marBottom w:val="0"/>
          <w:divBdr>
            <w:top w:val="none" w:sz="0" w:space="0" w:color="auto"/>
            <w:left w:val="none" w:sz="0" w:space="0" w:color="auto"/>
            <w:bottom w:val="none" w:sz="0" w:space="0" w:color="auto"/>
            <w:right w:val="none" w:sz="0" w:space="0" w:color="auto"/>
          </w:divBdr>
        </w:div>
        <w:div w:id="162622484">
          <w:marLeft w:val="0"/>
          <w:marRight w:val="0"/>
          <w:marTop w:val="0"/>
          <w:marBottom w:val="0"/>
          <w:divBdr>
            <w:top w:val="none" w:sz="0" w:space="0" w:color="auto"/>
            <w:left w:val="none" w:sz="0" w:space="0" w:color="auto"/>
            <w:bottom w:val="none" w:sz="0" w:space="0" w:color="auto"/>
            <w:right w:val="none" w:sz="0" w:space="0" w:color="auto"/>
          </w:divBdr>
        </w:div>
        <w:div w:id="201527509">
          <w:marLeft w:val="0"/>
          <w:marRight w:val="0"/>
          <w:marTop w:val="0"/>
          <w:marBottom w:val="0"/>
          <w:divBdr>
            <w:top w:val="none" w:sz="0" w:space="0" w:color="auto"/>
            <w:left w:val="none" w:sz="0" w:space="0" w:color="auto"/>
            <w:bottom w:val="none" w:sz="0" w:space="0" w:color="auto"/>
            <w:right w:val="none" w:sz="0" w:space="0" w:color="auto"/>
          </w:divBdr>
        </w:div>
        <w:div w:id="210775004">
          <w:marLeft w:val="0"/>
          <w:marRight w:val="0"/>
          <w:marTop w:val="0"/>
          <w:marBottom w:val="0"/>
          <w:divBdr>
            <w:top w:val="none" w:sz="0" w:space="0" w:color="auto"/>
            <w:left w:val="none" w:sz="0" w:space="0" w:color="auto"/>
            <w:bottom w:val="none" w:sz="0" w:space="0" w:color="auto"/>
            <w:right w:val="none" w:sz="0" w:space="0" w:color="auto"/>
          </w:divBdr>
        </w:div>
        <w:div w:id="222061825">
          <w:marLeft w:val="0"/>
          <w:marRight w:val="0"/>
          <w:marTop w:val="0"/>
          <w:marBottom w:val="0"/>
          <w:divBdr>
            <w:top w:val="none" w:sz="0" w:space="0" w:color="auto"/>
            <w:left w:val="none" w:sz="0" w:space="0" w:color="auto"/>
            <w:bottom w:val="none" w:sz="0" w:space="0" w:color="auto"/>
            <w:right w:val="none" w:sz="0" w:space="0" w:color="auto"/>
          </w:divBdr>
        </w:div>
        <w:div w:id="237789425">
          <w:marLeft w:val="0"/>
          <w:marRight w:val="0"/>
          <w:marTop w:val="0"/>
          <w:marBottom w:val="0"/>
          <w:divBdr>
            <w:top w:val="none" w:sz="0" w:space="0" w:color="auto"/>
            <w:left w:val="none" w:sz="0" w:space="0" w:color="auto"/>
            <w:bottom w:val="none" w:sz="0" w:space="0" w:color="auto"/>
            <w:right w:val="none" w:sz="0" w:space="0" w:color="auto"/>
          </w:divBdr>
        </w:div>
        <w:div w:id="302009632">
          <w:marLeft w:val="0"/>
          <w:marRight w:val="0"/>
          <w:marTop w:val="0"/>
          <w:marBottom w:val="0"/>
          <w:divBdr>
            <w:top w:val="none" w:sz="0" w:space="0" w:color="auto"/>
            <w:left w:val="none" w:sz="0" w:space="0" w:color="auto"/>
            <w:bottom w:val="none" w:sz="0" w:space="0" w:color="auto"/>
            <w:right w:val="none" w:sz="0" w:space="0" w:color="auto"/>
          </w:divBdr>
        </w:div>
        <w:div w:id="355694185">
          <w:marLeft w:val="0"/>
          <w:marRight w:val="0"/>
          <w:marTop w:val="0"/>
          <w:marBottom w:val="0"/>
          <w:divBdr>
            <w:top w:val="none" w:sz="0" w:space="0" w:color="auto"/>
            <w:left w:val="none" w:sz="0" w:space="0" w:color="auto"/>
            <w:bottom w:val="none" w:sz="0" w:space="0" w:color="auto"/>
            <w:right w:val="none" w:sz="0" w:space="0" w:color="auto"/>
          </w:divBdr>
        </w:div>
        <w:div w:id="561523211">
          <w:marLeft w:val="0"/>
          <w:marRight w:val="0"/>
          <w:marTop w:val="0"/>
          <w:marBottom w:val="0"/>
          <w:divBdr>
            <w:top w:val="none" w:sz="0" w:space="0" w:color="auto"/>
            <w:left w:val="none" w:sz="0" w:space="0" w:color="auto"/>
            <w:bottom w:val="none" w:sz="0" w:space="0" w:color="auto"/>
            <w:right w:val="none" w:sz="0" w:space="0" w:color="auto"/>
          </w:divBdr>
        </w:div>
        <w:div w:id="620066794">
          <w:marLeft w:val="0"/>
          <w:marRight w:val="0"/>
          <w:marTop w:val="0"/>
          <w:marBottom w:val="0"/>
          <w:divBdr>
            <w:top w:val="none" w:sz="0" w:space="0" w:color="auto"/>
            <w:left w:val="none" w:sz="0" w:space="0" w:color="auto"/>
            <w:bottom w:val="none" w:sz="0" w:space="0" w:color="auto"/>
            <w:right w:val="none" w:sz="0" w:space="0" w:color="auto"/>
          </w:divBdr>
        </w:div>
        <w:div w:id="681858186">
          <w:marLeft w:val="0"/>
          <w:marRight w:val="0"/>
          <w:marTop w:val="0"/>
          <w:marBottom w:val="0"/>
          <w:divBdr>
            <w:top w:val="none" w:sz="0" w:space="0" w:color="auto"/>
            <w:left w:val="none" w:sz="0" w:space="0" w:color="auto"/>
            <w:bottom w:val="none" w:sz="0" w:space="0" w:color="auto"/>
            <w:right w:val="none" w:sz="0" w:space="0" w:color="auto"/>
          </w:divBdr>
        </w:div>
        <w:div w:id="692263845">
          <w:marLeft w:val="0"/>
          <w:marRight w:val="0"/>
          <w:marTop w:val="0"/>
          <w:marBottom w:val="0"/>
          <w:divBdr>
            <w:top w:val="none" w:sz="0" w:space="0" w:color="auto"/>
            <w:left w:val="none" w:sz="0" w:space="0" w:color="auto"/>
            <w:bottom w:val="none" w:sz="0" w:space="0" w:color="auto"/>
            <w:right w:val="none" w:sz="0" w:space="0" w:color="auto"/>
          </w:divBdr>
        </w:div>
        <w:div w:id="731007858">
          <w:marLeft w:val="0"/>
          <w:marRight w:val="0"/>
          <w:marTop w:val="0"/>
          <w:marBottom w:val="0"/>
          <w:divBdr>
            <w:top w:val="none" w:sz="0" w:space="0" w:color="auto"/>
            <w:left w:val="none" w:sz="0" w:space="0" w:color="auto"/>
            <w:bottom w:val="none" w:sz="0" w:space="0" w:color="auto"/>
            <w:right w:val="none" w:sz="0" w:space="0" w:color="auto"/>
          </w:divBdr>
        </w:div>
        <w:div w:id="833838245">
          <w:marLeft w:val="0"/>
          <w:marRight w:val="0"/>
          <w:marTop w:val="0"/>
          <w:marBottom w:val="0"/>
          <w:divBdr>
            <w:top w:val="none" w:sz="0" w:space="0" w:color="auto"/>
            <w:left w:val="none" w:sz="0" w:space="0" w:color="auto"/>
            <w:bottom w:val="none" w:sz="0" w:space="0" w:color="auto"/>
            <w:right w:val="none" w:sz="0" w:space="0" w:color="auto"/>
          </w:divBdr>
        </w:div>
        <w:div w:id="843011073">
          <w:marLeft w:val="0"/>
          <w:marRight w:val="0"/>
          <w:marTop w:val="0"/>
          <w:marBottom w:val="0"/>
          <w:divBdr>
            <w:top w:val="none" w:sz="0" w:space="0" w:color="auto"/>
            <w:left w:val="none" w:sz="0" w:space="0" w:color="auto"/>
            <w:bottom w:val="none" w:sz="0" w:space="0" w:color="auto"/>
            <w:right w:val="none" w:sz="0" w:space="0" w:color="auto"/>
          </w:divBdr>
        </w:div>
        <w:div w:id="895698194">
          <w:marLeft w:val="0"/>
          <w:marRight w:val="0"/>
          <w:marTop w:val="0"/>
          <w:marBottom w:val="0"/>
          <w:divBdr>
            <w:top w:val="none" w:sz="0" w:space="0" w:color="auto"/>
            <w:left w:val="none" w:sz="0" w:space="0" w:color="auto"/>
            <w:bottom w:val="none" w:sz="0" w:space="0" w:color="auto"/>
            <w:right w:val="none" w:sz="0" w:space="0" w:color="auto"/>
          </w:divBdr>
        </w:div>
        <w:div w:id="898437024">
          <w:marLeft w:val="0"/>
          <w:marRight w:val="0"/>
          <w:marTop w:val="0"/>
          <w:marBottom w:val="0"/>
          <w:divBdr>
            <w:top w:val="none" w:sz="0" w:space="0" w:color="auto"/>
            <w:left w:val="none" w:sz="0" w:space="0" w:color="auto"/>
            <w:bottom w:val="none" w:sz="0" w:space="0" w:color="auto"/>
            <w:right w:val="none" w:sz="0" w:space="0" w:color="auto"/>
          </w:divBdr>
        </w:div>
        <w:div w:id="908467629">
          <w:marLeft w:val="0"/>
          <w:marRight w:val="0"/>
          <w:marTop w:val="0"/>
          <w:marBottom w:val="0"/>
          <w:divBdr>
            <w:top w:val="none" w:sz="0" w:space="0" w:color="auto"/>
            <w:left w:val="none" w:sz="0" w:space="0" w:color="auto"/>
            <w:bottom w:val="none" w:sz="0" w:space="0" w:color="auto"/>
            <w:right w:val="none" w:sz="0" w:space="0" w:color="auto"/>
          </w:divBdr>
        </w:div>
        <w:div w:id="926231490">
          <w:marLeft w:val="0"/>
          <w:marRight w:val="0"/>
          <w:marTop w:val="0"/>
          <w:marBottom w:val="0"/>
          <w:divBdr>
            <w:top w:val="none" w:sz="0" w:space="0" w:color="auto"/>
            <w:left w:val="none" w:sz="0" w:space="0" w:color="auto"/>
            <w:bottom w:val="none" w:sz="0" w:space="0" w:color="auto"/>
            <w:right w:val="none" w:sz="0" w:space="0" w:color="auto"/>
          </w:divBdr>
        </w:div>
        <w:div w:id="933128570">
          <w:marLeft w:val="0"/>
          <w:marRight w:val="0"/>
          <w:marTop w:val="0"/>
          <w:marBottom w:val="0"/>
          <w:divBdr>
            <w:top w:val="none" w:sz="0" w:space="0" w:color="auto"/>
            <w:left w:val="none" w:sz="0" w:space="0" w:color="auto"/>
            <w:bottom w:val="none" w:sz="0" w:space="0" w:color="auto"/>
            <w:right w:val="none" w:sz="0" w:space="0" w:color="auto"/>
          </w:divBdr>
        </w:div>
        <w:div w:id="1031687028">
          <w:marLeft w:val="0"/>
          <w:marRight w:val="0"/>
          <w:marTop w:val="0"/>
          <w:marBottom w:val="0"/>
          <w:divBdr>
            <w:top w:val="none" w:sz="0" w:space="0" w:color="auto"/>
            <w:left w:val="none" w:sz="0" w:space="0" w:color="auto"/>
            <w:bottom w:val="none" w:sz="0" w:space="0" w:color="auto"/>
            <w:right w:val="none" w:sz="0" w:space="0" w:color="auto"/>
          </w:divBdr>
        </w:div>
        <w:div w:id="1077094512">
          <w:marLeft w:val="0"/>
          <w:marRight w:val="0"/>
          <w:marTop w:val="0"/>
          <w:marBottom w:val="0"/>
          <w:divBdr>
            <w:top w:val="none" w:sz="0" w:space="0" w:color="auto"/>
            <w:left w:val="none" w:sz="0" w:space="0" w:color="auto"/>
            <w:bottom w:val="none" w:sz="0" w:space="0" w:color="auto"/>
            <w:right w:val="none" w:sz="0" w:space="0" w:color="auto"/>
          </w:divBdr>
        </w:div>
        <w:div w:id="1127045306">
          <w:marLeft w:val="0"/>
          <w:marRight w:val="0"/>
          <w:marTop w:val="0"/>
          <w:marBottom w:val="0"/>
          <w:divBdr>
            <w:top w:val="none" w:sz="0" w:space="0" w:color="auto"/>
            <w:left w:val="none" w:sz="0" w:space="0" w:color="auto"/>
            <w:bottom w:val="none" w:sz="0" w:space="0" w:color="auto"/>
            <w:right w:val="none" w:sz="0" w:space="0" w:color="auto"/>
          </w:divBdr>
        </w:div>
        <w:div w:id="1174152137">
          <w:marLeft w:val="0"/>
          <w:marRight w:val="0"/>
          <w:marTop w:val="0"/>
          <w:marBottom w:val="0"/>
          <w:divBdr>
            <w:top w:val="none" w:sz="0" w:space="0" w:color="auto"/>
            <w:left w:val="none" w:sz="0" w:space="0" w:color="auto"/>
            <w:bottom w:val="none" w:sz="0" w:space="0" w:color="auto"/>
            <w:right w:val="none" w:sz="0" w:space="0" w:color="auto"/>
          </w:divBdr>
        </w:div>
        <w:div w:id="1187602432">
          <w:marLeft w:val="0"/>
          <w:marRight w:val="0"/>
          <w:marTop w:val="0"/>
          <w:marBottom w:val="0"/>
          <w:divBdr>
            <w:top w:val="none" w:sz="0" w:space="0" w:color="auto"/>
            <w:left w:val="none" w:sz="0" w:space="0" w:color="auto"/>
            <w:bottom w:val="none" w:sz="0" w:space="0" w:color="auto"/>
            <w:right w:val="none" w:sz="0" w:space="0" w:color="auto"/>
          </w:divBdr>
        </w:div>
        <w:div w:id="1212769705">
          <w:marLeft w:val="0"/>
          <w:marRight w:val="0"/>
          <w:marTop w:val="0"/>
          <w:marBottom w:val="0"/>
          <w:divBdr>
            <w:top w:val="none" w:sz="0" w:space="0" w:color="auto"/>
            <w:left w:val="none" w:sz="0" w:space="0" w:color="auto"/>
            <w:bottom w:val="none" w:sz="0" w:space="0" w:color="auto"/>
            <w:right w:val="none" w:sz="0" w:space="0" w:color="auto"/>
          </w:divBdr>
        </w:div>
        <w:div w:id="1295714803">
          <w:marLeft w:val="0"/>
          <w:marRight w:val="0"/>
          <w:marTop w:val="0"/>
          <w:marBottom w:val="0"/>
          <w:divBdr>
            <w:top w:val="none" w:sz="0" w:space="0" w:color="auto"/>
            <w:left w:val="none" w:sz="0" w:space="0" w:color="auto"/>
            <w:bottom w:val="none" w:sz="0" w:space="0" w:color="auto"/>
            <w:right w:val="none" w:sz="0" w:space="0" w:color="auto"/>
          </w:divBdr>
        </w:div>
        <w:div w:id="1339115426">
          <w:marLeft w:val="0"/>
          <w:marRight w:val="0"/>
          <w:marTop w:val="0"/>
          <w:marBottom w:val="0"/>
          <w:divBdr>
            <w:top w:val="none" w:sz="0" w:space="0" w:color="auto"/>
            <w:left w:val="none" w:sz="0" w:space="0" w:color="auto"/>
            <w:bottom w:val="none" w:sz="0" w:space="0" w:color="auto"/>
            <w:right w:val="none" w:sz="0" w:space="0" w:color="auto"/>
          </w:divBdr>
        </w:div>
        <w:div w:id="1342439832">
          <w:marLeft w:val="0"/>
          <w:marRight w:val="0"/>
          <w:marTop w:val="0"/>
          <w:marBottom w:val="0"/>
          <w:divBdr>
            <w:top w:val="none" w:sz="0" w:space="0" w:color="auto"/>
            <w:left w:val="none" w:sz="0" w:space="0" w:color="auto"/>
            <w:bottom w:val="none" w:sz="0" w:space="0" w:color="auto"/>
            <w:right w:val="none" w:sz="0" w:space="0" w:color="auto"/>
          </w:divBdr>
        </w:div>
        <w:div w:id="1449348537">
          <w:marLeft w:val="0"/>
          <w:marRight w:val="0"/>
          <w:marTop w:val="0"/>
          <w:marBottom w:val="0"/>
          <w:divBdr>
            <w:top w:val="none" w:sz="0" w:space="0" w:color="auto"/>
            <w:left w:val="none" w:sz="0" w:space="0" w:color="auto"/>
            <w:bottom w:val="none" w:sz="0" w:space="0" w:color="auto"/>
            <w:right w:val="none" w:sz="0" w:space="0" w:color="auto"/>
          </w:divBdr>
        </w:div>
        <w:div w:id="1450853375">
          <w:marLeft w:val="0"/>
          <w:marRight w:val="0"/>
          <w:marTop w:val="0"/>
          <w:marBottom w:val="0"/>
          <w:divBdr>
            <w:top w:val="none" w:sz="0" w:space="0" w:color="auto"/>
            <w:left w:val="none" w:sz="0" w:space="0" w:color="auto"/>
            <w:bottom w:val="none" w:sz="0" w:space="0" w:color="auto"/>
            <w:right w:val="none" w:sz="0" w:space="0" w:color="auto"/>
          </w:divBdr>
        </w:div>
        <w:div w:id="1481730294">
          <w:marLeft w:val="0"/>
          <w:marRight w:val="0"/>
          <w:marTop w:val="0"/>
          <w:marBottom w:val="0"/>
          <w:divBdr>
            <w:top w:val="none" w:sz="0" w:space="0" w:color="auto"/>
            <w:left w:val="none" w:sz="0" w:space="0" w:color="auto"/>
            <w:bottom w:val="none" w:sz="0" w:space="0" w:color="auto"/>
            <w:right w:val="none" w:sz="0" w:space="0" w:color="auto"/>
          </w:divBdr>
        </w:div>
        <w:div w:id="1539857889">
          <w:marLeft w:val="0"/>
          <w:marRight w:val="0"/>
          <w:marTop w:val="0"/>
          <w:marBottom w:val="0"/>
          <w:divBdr>
            <w:top w:val="none" w:sz="0" w:space="0" w:color="auto"/>
            <w:left w:val="none" w:sz="0" w:space="0" w:color="auto"/>
            <w:bottom w:val="none" w:sz="0" w:space="0" w:color="auto"/>
            <w:right w:val="none" w:sz="0" w:space="0" w:color="auto"/>
          </w:divBdr>
        </w:div>
        <w:div w:id="1583486106">
          <w:marLeft w:val="0"/>
          <w:marRight w:val="0"/>
          <w:marTop w:val="0"/>
          <w:marBottom w:val="0"/>
          <w:divBdr>
            <w:top w:val="none" w:sz="0" w:space="0" w:color="auto"/>
            <w:left w:val="none" w:sz="0" w:space="0" w:color="auto"/>
            <w:bottom w:val="none" w:sz="0" w:space="0" w:color="auto"/>
            <w:right w:val="none" w:sz="0" w:space="0" w:color="auto"/>
          </w:divBdr>
        </w:div>
        <w:div w:id="1628657702">
          <w:marLeft w:val="0"/>
          <w:marRight w:val="0"/>
          <w:marTop w:val="0"/>
          <w:marBottom w:val="0"/>
          <w:divBdr>
            <w:top w:val="none" w:sz="0" w:space="0" w:color="auto"/>
            <w:left w:val="none" w:sz="0" w:space="0" w:color="auto"/>
            <w:bottom w:val="none" w:sz="0" w:space="0" w:color="auto"/>
            <w:right w:val="none" w:sz="0" w:space="0" w:color="auto"/>
          </w:divBdr>
        </w:div>
        <w:div w:id="1640184884">
          <w:marLeft w:val="0"/>
          <w:marRight w:val="0"/>
          <w:marTop w:val="0"/>
          <w:marBottom w:val="0"/>
          <w:divBdr>
            <w:top w:val="none" w:sz="0" w:space="0" w:color="auto"/>
            <w:left w:val="none" w:sz="0" w:space="0" w:color="auto"/>
            <w:bottom w:val="none" w:sz="0" w:space="0" w:color="auto"/>
            <w:right w:val="none" w:sz="0" w:space="0" w:color="auto"/>
          </w:divBdr>
        </w:div>
        <w:div w:id="1696342657">
          <w:marLeft w:val="0"/>
          <w:marRight w:val="0"/>
          <w:marTop w:val="0"/>
          <w:marBottom w:val="0"/>
          <w:divBdr>
            <w:top w:val="none" w:sz="0" w:space="0" w:color="auto"/>
            <w:left w:val="none" w:sz="0" w:space="0" w:color="auto"/>
            <w:bottom w:val="none" w:sz="0" w:space="0" w:color="auto"/>
            <w:right w:val="none" w:sz="0" w:space="0" w:color="auto"/>
          </w:divBdr>
        </w:div>
        <w:div w:id="1827630648">
          <w:marLeft w:val="0"/>
          <w:marRight w:val="0"/>
          <w:marTop w:val="0"/>
          <w:marBottom w:val="0"/>
          <w:divBdr>
            <w:top w:val="none" w:sz="0" w:space="0" w:color="auto"/>
            <w:left w:val="none" w:sz="0" w:space="0" w:color="auto"/>
            <w:bottom w:val="none" w:sz="0" w:space="0" w:color="auto"/>
            <w:right w:val="none" w:sz="0" w:space="0" w:color="auto"/>
          </w:divBdr>
        </w:div>
        <w:div w:id="1862159185">
          <w:marLeft w:val="0"/>
          <w:marRight w:val="0"/>
          <w:marTop w:val="0"/>
          <w:marBottom w:val="0"/>
          <w:divBdr>
            <w:top w:val="none" w:sz="0" w:space="0" w:color="auto"/>
            <w:left w:val="none" w:sz="0" w:space="0" w:color="auto"/>
            <w:bottom w:val="none" w:sz="0" w:space="0" w:color="auto"/>
            <w:right w:val="none" w:sz="0" w:space="0" w:color="auto"/>
          </w:divBdr>
        </w:div>
        <w:div w:id="1876841697">
          <w:marLeft w:val="0"/>
          <w:marRight w:val="0"/>
          <w:marTop w:val="0"/>
          <w:marBottom w:val="0"/>
          <w:divBdr>
            <w:top w:val="none" w:sz="0" w:space="0" w:color="auto"/>
            <w:left w:val="none" w:sz="0" w:space="0" w:color="auto"/>
            <w:bottom w:val="none" w:sz="0" w:space="0" w:color="auto"/>
            <w:right w:val="none" w:sz="0" w:space="0" w:color="auto"/>
          </w:divBdr>
        </w:div>
        <w:div w:id="1944144002">
          <w:marLeft w:val="0"/>
          <w:marRight w:val="0"/>
          <w:marTop w:val="0"/>
          <w:marBottom w:val="0"/>
          <w:divBdr>
            <w:top w:val="none" w:sz="0" w:space="0" w:color="auto"/>
            <w:left w:val="none" w:sz="0" w:space="0" w:color="auto"/>
            <w:bottom w:val="none" w:sz="0" w:space="0" w:color="auto"/>
            <w:right w:val="none" w:sz="0" w:space="0" w:color="auto"/>
          </w:divBdr>
        </w:div>
        <w:div w:id="1982690351">
          <w:marLeft w:val="0"/>
          <w:marRight w:val="0"/>
          <w:marTop w:val="0"/>
          <w:marBottom w:val="0"/>
          <w:divBdr>
            <w:top w:val="none" w:sz="0" w:space="0" w:color="auto"/>
            <w:left w:val="none" w:sz="0" w:space="0" w:color="auto"/>
            <w:bottom w:val="none" w:sz="0" w:space="0" w:color="auto"/>
            <w:right w:val="none" w:sz="0" w:space="0" w:color="auto"/>
          </w:divBdr>
        </w:div>
        <w:div w:id="2037197097">
          <w:marLeft w:val="0"/>
          <w:marRight w:val="0"/>
          <w:marTop w:val="0"/>
          <w:marBottom w:val="0"/>
          <w:divBdr>
            <w:top w:val="none" w:sz="0" w:space="0" w:color="auto"/>
            <w:left w:val="none" w:sz="0" w:space="0" w:color="auto"/>
            <w:bottom w:val="none" w:sz="0" w:space="0" w:color="auto"/>
            <w:right w:val="none" w:sz="0" w:space="0" w:color="auto"/>
          </w:divBdr>
        </w:div>
        <w:div w:id="2048723497">
          <w:marLeft w:val="0"/>
          <w:marRight w:val="0"/>
          <w:marTop w:val="0"/>
          <w:marBottom w:val="0"/>
          <w:divBdr>
            <w:top w:val="none" w:sz="0" w:space="0" w:color="auto"/>
            <w:left w:val="none" w:sz="0" w:space="0" w:color="auto"/>
            <w:bottom w:val="none" w:sz="0" w:space="0" w:color="auto"/>
            <w:right w:val="none" w:sz="0" w:space="0" w:color="auto"/>
          </w:divBdr>
        </w:div>
        <w:div w:id="2117481063">
          <w:marLeft w:val="0"/>
          <w:marRight w:val="0"/>
          <w:marTop w:val="0"/>
          <w:marBottom w:val="0"/>
          <w:divBdr>
            <w:top w:val="none" w:sz="0" w:space="0" w:color="auto"/>
            <w:left w:val="none" w:sz="0" w:space="0" w:color="auto"/>
            <w:bottom w:val="none" w:sz="0" w:space="0" w:color="auto"/>
            <w:right w:val="none" w:sz="0" w:space="0" w:color="auto"/>
          </w:divBdr>
        </w:div>
        <w:div w:id="2122261745">
          <w:marLeft w:val="0"/>
          <w:marRight w:val="0"/>
          <w:marTop w:val="0"/>
          <w:marBottom w:val="0"/>
          <w:divBdr>
            <w:top w:val="none" w:sz="0" w:space="0" w:color="auto"/>
            <w:left w:val="none" w:sz="0" w:space="0" w:color="auto"/>
            <w:bottom w:val="none" w:sz="0" w:space="0" w:color="auto"/>
            <w:right w:val="none" w:sz="0" w:space="0" w:color="auto"/>
          </w:divBdr>
        </w:div>
      </w:divsChild>
    </w:div>
    <w:div w:id="1873029662">
      <w:bodyDiv w:val="1"/>
      <w:marLeft w:val="0"/>
      <w:marRight w:val="0"/>
      <w:marTop w:val="0"/>
      <w:marBottom w:val="0"/>
      <w:divBdr>
        <w:top w:val="none" w:sz="0" w:space="0" w:color="auto"/>
        <w:left w:val="none" w:sz="0" w:space="0" w:color="auto"/>
        <w:bottom w:val="none" w:sz="0" w:space="0" w:color="auto"/>
        <w:right w:val="none" w:sz="0" w:space="0" w:color="auto"/>
      </w:divBdr>
      <w:divsChild>
        <w:div w:id="67657104">
          <w:marLeft w:val="0"/>
          <w:marRight w:val="0"/>
          <w:marTop w:val="0"/>
          <w:marBottom w:val="0"/>
          <w:divBdr>
            <w:top w:val="none" w:sz="0" w:space="0" w:color="auto"/>
            <w:left w:val="none" w:sz="0" w:space="0" w:color="auto"/>
            <w:bottom w:val="none" w:sz="0" w:space="0" w:color="auto"/>
            <w:right w:val="none" w:sz="0" w:space="0" w:color="auto"/>
          </w:divBdr>
        </w:div>
        <w:div w:id="68424989">
          <w:marLeft w:val="0"/>
          <w:marRight w:val="0"/>
          <w:marTop w:val="0"/>
          <w:marBottom w:val="0"/>
          <w:divBdr>
            <w:top w:val="none" w:sz="0" w:space="0" w:color="auto"/>
            <w:left w:val="none" w:sz="0" w:space="0" w:color="auto"/>
            <w:bottom w:val="none" w:sz="0" w:space="0" w:color="auto"/>
            <w:right w:val="none" w:sz="0" w:space="0" w:color="auto"/>
          </w:divBdr>
        </w:div>
        <w:div w:id="92014541">
          <w:marLeft w:val="0"/>
          <w:marRight w:val="0"/>
          <w:marTop w:val="0"/>
          <w:marBottom w:val="0"/>
          <w:divBdr>
            <w:top w:val="none" w:sz="0" w:space="0" w:color="auto"/>
            <w:left w:val="none" w:sz="0" w:space="0" w:color="auto"/>
            <w:bottom w:val="none" w:sz="0" w:space="0" w:color="auto"/>
            <w:right w:val="none" w:sz="0" w:space="0" w:color="auto"/>
          </w:divBdr>
        </w:div>
        <w:div w:id="132187669">
          <w:marLeft w:val="0"/>
          <w:marRight w:val="0"/>
          <w:marTop w:val="0"/>
          <w:marBottom w:val="0"/>
          <w:divBdr>
            <w:top w:val="none" w:sz="0" w:space="0" w:color="auto"/>
            <w:left w:val="none" w:sz="0" w:space="0" w:color="auto"/>
            <w:bottom w:val="none" w:sz="0" w:space="0" w:color="auto"/>
            <w:right w:val="none" w:sz="0" w:space="0" w:color="auto"/>
          </w:divBdr>
        </w:div>
        <w:div w:id="168952322">
          <w:marLeft w:val="0"/>
          <w:marRight w:val="0"/>
          <w:marTop w:val="0"/>
          <w:marBottom w:val="0"/>
          <w:divBdr>
            <w:top w:val="none" w:sz="0" w:space="0" w:color="auto"/>
            <w:left w:val="none" w:sz="0" w:space="0" w:color="auto"/>
            <w:bottom w:val="none" w:sz="0" w:space="0" w:color="auto"/>
            <w:right w:val="none" w:sz="0" w:space="0" w:color="auto"/>
          </w:divBdr>
        </w:div>
        <w:div w:id="169294657">
          <w:marLeft w:val="0"/>
          <w:marRight w:val="0"/>
          <w:marTop w:val="0"/>
          <w:marBottom w:val="0"/>
          <w:divBdr>
            <w:top w:val="none" w:sz="0" w:space="0" w:color="auto"/>
            <w:left w:val="none" w:sz="0" w:space="0" w:color="auto"/>
            <w:bottom w:val="none" w:sz="0" w:space="0" w:color="auto"/>
            <w:right w:val="none" w:sz="0" w:space="0" w:color="auto"/>
          </w:divBdr>
        </w:div>
        <w:div w:id="183523404">
          <w:marLeft w:val="0"/>
          <w:marRight w:val="0"/>
          <w:marTop w:val="0"/>
          <w:marBottom w:val="0"/>
          <w:divBdr>
            <w:top w:val="none" w:sz="0" w:space="0" w:color="auto"/>
            <w:left w:val="none" w:sz="0" w:space="0" w:color="auto"/>
            <w:bottom w:val="none" w:sz="0" w:space="0" w:color="auto"/>
            <w:right w:val="none" w:sz="0" w:space="0" w:color="auto"/>
          </w:divBdr>
        </w:div>
        <w:div w:id="210114907">
          <w:marLeft w:val="0"/>
          <w:marRight w:val="0"/>
          <w:marTop w:val="0"/>
          <w:marBottom w:val="0"/>
          <w:divBdr>
            <w:top w:val="none" w:sz="0" w:space="0" w:color="auto"/>
            <w:left w:val="none" w:sz="0" w:space="0" w:color="auto"/>
            <w:bottom w:val="none" w:sz="0" w:space="0" w:color="auto"/>
            <w:right w:val="none" w:sz="0" w:space="0" w:color="auto"/>
          </w:divBdr>
        </w:div>
        <w:div w:id="324481745">
          <w:marLeft w:val="0"/>
          <w:marRight w:val="0"/>
          <w:marTop w:val="0"/>
          <w:marBottom w:val="0"/>
          <w:divBdr>
            <w:top w:val="none" w:sz="0" w:space="0" w:color="auto"/>
            <w:left w:val="none" w:sz="0" w:space="0" w:color="auto"/>
            <w:bottom w:val="none" w:sz="0" w:space="0" w:color="auto"/>
            <w:right w:val="none" w:sz="0" w:space="0" w:color="auto"/>
          </w:divBdr>
        </w:div>
        <w:div w:id="324743224">
          <w:marLeft w:val="0"/>
          <w:marRight w:val="0"/>
          <w:marTop w:val="0"/>
          <w:marBottom w:val="0"/>
          <w:divBdr>
            <w:top w:val="none" w:sz="0" w:space="0" w:color="auto"/>
            <w:left w:val="none" w:sz="0" w:space="0" w:color="auto"/>
            <w:bottom w:val="none" w:sz="0" w:space="0" w:color="auto"/>
            <w:right w:val="none" w:sz="0" w:space="0" w:color="auto"/>
          </w:divBdr>
        </w:div>
        <w:div w:id="341782688">
          <w:marLeft w:val="0"/>
          <w:marRight w:val="0"/>
          <w:marTop w:val="0"/>
          <w:marBottom w:val="0"/>
          <w:divBdr>
            <w:top w:val="none" w:sz="0" w:space="0" w:color="auto"/>
            <w:left w:val="none" w:sz="0" w:space="0" w:color="auto"/>
            <w:bottom w:val="none" w:sz="0" w:space="0" w:color="auto"/>
            <w:right w:val="none" w:sz="0" w:space="0" w:color="auto"/>
          </w:divBdr>
        </w:div>
        <w:div w:id="417144364">
          <w:marLeft w:val="0"/>
          <w:marRight w:val="0"/>
          <w:marTop w:val="0"/>
          <w:marBottom w:val="0"/>
          <w:divBdr>
            <w:top w:val="none" w:sz="0" w:space="0" w:color="auto"/>
            <w:left w:val="none" w:sz="0" w:space="0" w:color="auto"/>
            <w:bottom w:val="none" w:sz="0" w:space="0" w:color="auto"/>
            <w:right w:val="none" w:sz="0" w:space="0" w:color="auto"/>
          </w:divBdr>
        </w:div>
        <w:div w:id="418067108">
          <w:marLeft w:val="0"/>
          <w:marRight w:val="0"/>
          <w:marTop w:val="0"/>
          <w:marBottom w:val="0"/>
          <w:divBdr>
            <w:top w:val="none" w:sz="0" w:space="0" w:color="auto"/>
            <w:left w:val="none" w:sz="0" w:space="0" w:color="auto"/>
            <w:bottom w:val="none" w:sz="0" w:space="0" w:color="auto"/>
            <w:right w:val="none" w:sz="0" w:space="0" w:color="auto"/>
          </w:divBdr>
        </w:div>
        <w:div w:id="468935669">
          <w:marLeft w:val="0"/>
          <w:marRight w:val="0"/>
          <w:marTop w:val="0"/>
          <w:marBottom w:val="0"/>
          <w:divBdr>
            <w:top w:val="none" w:sz="0" w:space="0" w:color="auto"/>
            <w:left w:val="none" w:sz="0" w:space="0" w:color="auto"/>
            <w:bottom w:val="none" w:sz="0" w:space="0" w:color="auto"/>
            <w:right w:val="none" w:sz="0" w:space="0" w:color="auto"/>
          </w:divBdr>
        </w:div>
        <w:div w:id="504513869">
          <w:marLeft w:val="0"/>
          <w:marRight w:val="0"/>
          <w:marTop w:val="0"/>
          <w:marBottom w:val="0"/>
          <w:divBdr>
            <w:top w:val="none" w:sz="0" w:space="0" w:color="auto"/>
            <w:left w:val="none" w:sz="0" w:space="0" w:color="auto"/>
            <w:bottom w:val="none" w:sz="0" w:space="0" w:color="auto"/>
            <w:right w:val="none" w:sz="0" w:space="0" w:color="auto"/>
          </w:divBdr>
        </w:div>
        <w:div w:id="559245147">
          <w:marLeft w:val="0"/>
          <w:marRight w:val="0"/>
          <w:marTop w:val="0"/>
          <w:marBottom w:val="0"/>
          <w:divBdr>
            <w:top w:val="none" w:sz="0" w:space="0" w:color="auto"/>
            <w:left w:val="none" w:sz="0" w:space="0" w:color="auto"/>
            <w:bottom w:val="none" w:sz="0" w:space="0" w:color="auto"/>
            <w:right w:val="none" w:sz="0" w:space="0" w:color="auto"/>
          </w:divBdr>
        </w:div>
        <w:div w:id="590894090">
          <w:marLeft w:val="0"/>
          <w:marRight w:val="0"/>
          <w:marTop w:val="0"/>
          <w:marBottom w:val="0"/>
          <w:divBdr>
            <w:top w:val="none" w:sz="0" w:space="0" w:color="auto"/>
            <w:left w:val="none" w:sz="0" w:space="0" w:color="auto"/>
            <w:bottom w:val="none" w:sz="0" w:space="0" w:color="auto"/>
            <w:right w:val="none" w:sz="0" w:space="0" w:color="auto"/>
          </w:divBdr>
        </w:div>
        <w:div w:id="678315344">
          <w:marLeft w:val="0"/>
          <w:marRight w:val="0"/>
          <w:marTop w:val="0"/>
          <w:marBottom w:val="0"/>
          <w:divBdr>
            <w:top w:val="none" w:sz="0" w:space="0" w:color="auto"/>
            <w:left w:val="none" w:sz="0" w:space="0" w:color="auto"/>
            <w:bottom w:val="none" w:sz="0" w:space="0" w:color="auto"/>
            <w:right w:val="none" w:sz="0" w:space="0" w:color="auto"/>
          </w:divBdr>
        </w:div>
        <w:div w:id="684012985">
          <w:marLeft w:val="0"/>
          <w:marRight w:val="0"/>
          <w:marTop w:val="0"/>
          <w:marBottom w:val="0"/>
          <w:divBdr>
            <w:top w:val="none" w:sz="0" w:space="0" w:color="auto"/>
            <w:left w:val="none" w:sz="0" w:space="0" w:color="auto"/>
            <w:bottom w:val="none" w:sz="0" w:space="0" w:color="auto"/>
            <w:right w:val="none" w:sz="0" w:space="0" w:color="auto"/>
          </w:divBdr>
        </w:div>
        <w:div w:id="720404346">
          <w:marLeft w:val="0"/>
          <w:marRight w:val="0"/>
          <w:marTop w:val="0"/>
          <w:marBottom w:val="0"/>
          <w:divBdr>
            <w:top w:val="none" w:sz="0" w:space="0" w:color="auto"/>
            <w:left w:val="none" w:sz="0" w:space="0" w:color="auto"/>
            <w:bottom w:val="none" w:sz="0" w:space="0" w:color="auto"/>
            <w:right w:val="none" w:sz="0" w:space="0" w:color="auto"/>
          </w:divBdr>
        </w:div>
        <w:div w:id="756487377">
          <w:marLeft w:val="0"/>
          <w:marRight w:val="0"/>
          <w:marTop w:val="0"/>
          <w:marBottom w:val="0"/>
          <w:divBdr>
            <w:top w:val="none" w:sz="0" w:space="0" w:color="auto"/>
            <w:left w:val="none" w:sz="0" w:space="0" w:color="auto"/>
            <w:bottom w:val="none" w:sz="0" w:space="0" w:color="auto"/>
            <w:right w:val="none" w:sz="0" w:space="0" w:color="auto"/>
          </w:divBdr>
        </w:div>
        <w:div w:id="760955871">
          <w:marLeft w:val="0"/>
          <w:marRight w:val="0"/>
          <w:marTop w:val="0"/>
          <w:marBottom w:val="0"/>
          <w:divBdr>
            <w:top w:val="none" w:sz="0" w:space="0" w:color="auto"/>
            <w:left w:val="none" w:sz="0" w:space="0" w:color="auto"/>
            <w:bottom w:val="none" w:sz="0" w:space="0" w:color="auto"/>
            <w:right w:val="none" w:sz="0" w:space="0" w:color="auto"/>
          </w:divBdr>
        </w:div>
        <w:div w:id="790592726">
          <w:marLeft w:val="0"/>
          <w:marRight w:val="0"/>
          <w:marTop w:val="0"/>
          <w:marBottom w:val="0"/>
          <w:divBdr>
            <w:top w:val="none" w:sz="0" w:space="0" w:color="auto"/>
            <w:left w:val="none" w:sz="0" w:space="0" w:color="auto"/>
            <w:bottom w:val="none" w:sz="0" w:space="0" w:color="auto"/>
            <w:right w:val="none" w:sz="0" w:space="0" w:color="auto"/>
          </w:divBdr>
        </w:div>
        <w:div w:id="825121966">
          <w:marLeft w:val="0"/>
          <w:marRight w:val="0"/>
          <w:marTop w:val="0"/>
          <w:marBottom w:val="0"/>
          <w:divBdr>
            <w:top w:val="none" w:sz="0" w:space="0" w:color="auto"/>
            <w:left w:val="none" w:sz="0" w:space="0" w:color="auto"/>
            <w:bottom w:val="none" w:sz="0" w:space="0" w:color="auto"/>
            <w:right w:val="none" w:sz="0" w:space="0" w:color="auto"/>
          </w:divBdr>
        </w:div>
        <w:div w:id="826744449">
          <w:marLeft w:val="0"/>
          <w:marRight w:val="0"/>
          <w:marTop w:val="0"/>
          <w:marBottom w:val="0"/>
          <w:divBdr>
            <w:top w:val="none" w:sz="0" w:space="0" w:color="auto"/>
            <w:left w:val="none" w:sz="0" w:space="0" w:color="auto"/>
            <w:bottom w:val="none" w:sz="0" w:space="0" w:color="auto"/>
            <w:right w:val="none" w:sz="0" w:space="0" w:color="auto"/>
          </w:divBdr>
        </w:div>
        <w:div w:id="828251104">
          <w:marLeft w:val="0"/>
          <w:marRight w:val="0"/>
          <w:marTop w:val="0"/>
          <w:marBottom w:val="0"/>
          <w:divBdr>
            <w:top w:val="none" w:sz="0" w:space="0" w:color="auto"/>
            <w:left w:val="none" w:sz="0" w:space="0" w:color="auto"/>
            <w:bottom w:val="none" w:sz="0" w:space="0" w:color="auto"/>
            <w:right w:val="none" w:sz="0" w:space="0" w:color="auto"/>
          </w:divBdr>
        </w:div>
        <w:div w:id="867452030">
          <w:marLeft w:val="0"/>
          <w:marRight w:val="0"/>
          <w:marTop w:val="0"/>
          <w:marBottom w:val="0"/>
          <w:divBdr>
            <w:top w:val="none" w:sz="0" w:space="0" w:color="auto"/>
            <w:left w:val="none" w:sz="0" w:space="0" w:color="auto"/>
            <w:bottom w:val="none" w:sz="0" w:space="0" w:color="auto"/>
            <w:right w:val="none" w:sz="0" w:space="0" w:color="auto"/>
          </w:divBdr>
        </w:div>
        <w:div w:id="870806246">
          <w:marLeft w:val="0"/>
          <w:marRight w:val="0"/>
          <w:marTop w:val="0"/>
          <w:marBottom w:val="0"/>
          <w:divBdr>
            <w:top w:val="none" w:sz="0" w:space="0" w:color="auto"/>
            <w:left w:val="none" w:sz="0" w:space="0" w:color="auto"/>
            <w:bottom w:val="none" w:sz="0" w:space="0" w:color="auto"/>
            <w:right w:val="none" w:sz="0" w:space="0" w:color="auto"/>
          </w:divBdr>
        </w:div>
        <w:div w:id="890649225">
          <w:marLeft w:val="0"/>
          <w:marRight w:val="0"/>
          <w:marTop w:val="0"/>
          <w:marBottom w:val="0"/>
          <w:divBdr>
            <w:top w:val="none" w:sz="0" w:space="0" w:color="auto"/>
            <w:left w:val="none" w:sz="0" w:space="0" w:color="auto"/>
            <w:bottom w:val="none" w:sz="0" w:space="0" w:color="auto"/>
            <w:right w:val="none" w:sz="0" w:space="0" w:color="auto"/>
          </w:divBdr>
        </w:div>
        <w:div w:id="920256650">
          <w:marLeft w:val="0"/>
          <w:marRight w:val="0"/>
          <w:marTop w:val="0"/>
          <w:marBottom w:val="0"/>
          <w:divBdr>
            <w:top w:val="none" w:sz="0" w:space="0" w:color="auto"/>
            <w:left w:val="none" w:sz="0" w:space="0" w:color="auto"/>
            <w:bottom w:val="none" w:sz="0" w:space="0" w:color="auto"/>
            <w:right w:val="none" w:sz="0" w:space="0" w:color="auto"/>
          </w:divBdr>
        </w:div>
        <w:div w:id="1009679413">
          <w:marLeft w:val="0"/>
          <w:marRight w:val="0"/>
          <w:marTop w:val="0"/>
          <w:marBottom w:val="0"/>
          <w:divBdr>
            <w:top w:val="none" w:sz="0" w:space="0" w:color="auto"/>
            <w:left w:val="none" w:sz="0" w:space="0" w:color="auto"/>
            <w:bottom w:val="none" w:sz="0" w:space="0" w:color="auto"/>
            <w:right w:val="none" w:sz="0" w:space="0" w:color="auto"/>
          </w:divBdr>
        </w:div>
        <w:div w:id="1058210721">
          <w:marLeft w:val="0"/>
          <w:marRight w:val="0"/>
          <w:marTop w:val="0"/>
          <w:marBottom w:val="0"/>
          <w:divBdr>
            <w:top w:val="none" w:sz="0" w:space="0" w:color="auto"/>
            <w:left w:val="none" w:sz="0" w:space="0" w:color="auto"/>
            <w:bottom w:val="none" w:sz="0" w:space="0" w:color="auto"/>
            <w:right w:val="none" w:sz="0" w:space="0" w:color="auto"/>
          </w:divBdr>
        </w:div>
        <w:div w:id="1086461086">
          <w:marLeft w:val="0"/>
          <w:marRight w:val="0"/>
          <w:marTop w:val="0"/>
          <w:marBottom w:val="0"/>
          <w:divBdr>
            <w:top w:val="none" w:sz="0" w:space="0" w:color="auto"/>
            <w:left w:val="none" w:sz="0" w:space="0" w:color="auto"/>
            <w:bottom w:val="none" w:sz="0" w:space="0" w:color="auto"/>
            <w:right w:val="none" w:sz="0" w:space="0" w:color="auto"/>
          </w:divBdr>
        </w:div>
        <w:div w:id="1100297378">
          <w:marLeft w:val="0"/>
          <w:marRight w:val="0"/>
          <w:marTop w:val="0"/>
          <w:marBottom w:val="0"/>
          <w:divBdr>
            <w:top w:val="none" w:sz="0" w:space="0" w:color="auto"/>
            <w:left w:val="none" w:sz="0" w:space="0" w:color="auto"/>
            <w:bottom w:val="none" w:sz="0" w:space="0" w:color="auto"/>
            <w:right w:val="none" w:sz="0" w:space="0" w:color="auto"/>
          </w:divBdr>
        </w:div>
        <w:div w:id="1208490215">
          <w:marLeft w:val="0"/>
          <w:marRight w:val="0"/>
          <w:marTop w:val="0"/>
          <w:marBottom w:val="0"/>
          <w:divBdr>
            <w:top w:val="none" w:sz="0" w:space="0" w:color="auto"/>
            <w:left w:val="none" w:sz="0" w:space="0" w:color="auto"/>
            <w:bottom w:val="none" w:sz="0" w:space="0" w:color="auto"/>
            <w:right w:val="none" w:sz="0" w:space="0" w:color="auto"/>
          </w:divBdr>
        </w:div>
        <w:div w:id="1213690016">
          <w:marLeft w:val="0"/>
          <w:marRight w:val="0"/>
          <w:marTop w:val="0"/>
          <w:marBottom w:val="0"/>
          <w:divBdr>
            <w:top w:val="none" w:sz="0" w:space="0" w:color="auto"/>
            <w:left w:val="none" w:sz="0" w:space="0" w:color="auto"/>
            <w:bottom w:val="none" w:sz="0" w:space="0" w:color="auto"/>
            <w:right w:val="none" w:sz="0" w:space="0" w:color="auto"/>
          </w:divBdr>
        </w:div>
        <w:div w:id="1297953857">
          <w:marLeft w:val="0"/>
          <w:marRight w:val="0"/>
          <w:marTop w:val="0"/>
          <w:marBottom w:val="0"/>
          <w:divBdr>
            <w:top w:val="none" w:sz="0" w:space="0" w:color="auto"/>
            <w:left w:val="none" w:sz="0" w:space="0" w:color="auto"/>
            <w:bottom w:val="none" w:sz="0" w:space="0" w:color="auto"/>
            <w:right w:val="none" w:sz="0" w:space="0" w:color="auto"/>
          </w:divBdr>
        </w:div>
        <w:div w:id="1343120805">
          <w:marLeft w:val="0"/>
          <w:marRight w:val="0"/>
          <w:marTop w:val="0"/>
          <w:marBottom w:val="0"/>
          <w:divBdr>
            <w:top w:val="none" w:sz="0" w:space="0" w:color="auto"/>
            <w:left w:val="none" w:sz="0" w:space="0" w:color="auto"/>
            <w:bottom w:val="none" w:sz="0" w:space="0" w:color="auto"/>
            <w:right w:val="none" w:sz="0" w:space="0" w:color="auto"/>
          </w:divBdr>
        </w:div>
        <w:div w:id="1415281308">
          <w:marLeft w:val="0"/>
          <w:marRight w:val="0"/>
          <w:marTop w:val="0"/>
          <w:marBottom w:val="0"/>
          <w:divBdr>
            <w:top w:val="none" w:sz="0" w:space="0" w:color="auto"/>
            <w:left w:val="none" w:sz="0" w:space="0" w:color="auto"/>
            <w:bottom w:val="none" w:sz="0" w:space="0" w:color="auto"/>
            <w:right w:val="none" w:sz="0" w:space="0" w:color="auto"/>
          </w:divBdr>
        </w:div>
        <w:div w:id="1435784318">
          <w:marLeft w:val="0"/>
          <w:marRight w:val="0"/>
          <w:marTop w:val="0"/>
          <w:marBottom w:val="0"/>
          <w:divBdr>
            <w:top w:val="none" w:sz="0" w:space="0" w:color="auto"/>
            <w:left w:val="none" w:sz="0" w:space="0" w:color="auto"/>
            <w:bottom w:val="none" w:sz="0" w:space="0" w:color="auto"/>
            <w:right w:val="none" w:sz="0" w:space="0" w:color="auto"/>
          </w:divBdr>
        </w:div>
        <w:div w:id="1467316988">
          <w:marLeft w:val="0"/>
          <w:marRight w:val="0"/>
          <w:marTop w:val="0"/>
          <w:marBottom w:val="0"/>
          <w:divBdr>
            <w:top w:val="none" w:sz="0" w:space="0" w:color="auto"/>
            <w:left w:val="none" w:sz="0" w:space="0" w:color="auto"/>
            <w:bottom w:val="none" w:sz="0" w:space="0" w:color="auto"/>
            <w:right w:val="none" w:sz="0" w:space="0" w:color="auto"/>
          </w:divBdr>
        </w:div>
        <w:div w:id="1483279955">
          <w:marLeft w:val="0"/>
          <w:marRight w:val="0"/>
          <w:marTop w:val="0"/>
          <w:marBottom w:val="0"/>
          <w:divBdr>
            <w:top w:val="none" w:sz="0" w:space="0" w:color="auto"/>
            <w:left w:val="none" w:sz="0" w:space="0" w:color="auto"/>
            <w:bottom w:val="none" w:sz="0" w:space="0" w:color="auto"/>
            <w:right w:val="none" w:sz="0" w:space="0" w:color="auto"/>
          </w:divBdr>
        </w:div>
        <w:div w:id="1535734293">
          <w:marLeft w:val="0"/>
          <w:marRight w:val="0"/>
          <w:marTop w:val="0"/>
          <w:marBottom w:val="0"/>
          <w:divBdr>
            <w:top w:val="none" w:sz="0" w:space="0" w:color="auto"/>
            <w:left w:val="none" w:sz="0" w:space="0" w:color="auto"/>
            <w:bottom w:val="none" w:sz="0" w:space="0" w:color="auto"/>
            <w:right w:val="none" w:sz="0" w:space="0" w:color="auto"/>
          </w:divBdr>
        </w:div>
        <w:div w:id="1565606886">
          <w:marLeft w:val="0"/>
          <w:marRight w:val="0"/>
          <w:marTop w:val="0"/>
          <w:marBottom w:val="0"/>
          <w:divBdr>
            <w:top w:val="none" w:sz="0" w:space="0" w:color="auto"/>
            <w:left w:val="none" w:sz="0" w:space="0" w:color="auto"/>
            <w:bottom w:val="none" w:sz="0" w:space="0" w:color="auto"/>
            <w:right w:val="none" w:sz="0" w:space="0" w:color="auto"/>
          </w:divBdr>
        </w:div>
        <w:div w:id="1607616218">
          <w:marLeft w:val="0"/>
          <w:marRight w:val="0"/>
          <w:marTop w:val="0"/>
          <w:marBottom w:val="0"/>
          <w:divBdr>
            <w:top w:val="none" w:sz="0" w:space="0" w:color="auto"/>
            <w:left w:val="none" w:sz="0" w:space="0" w:color="auto"/>
            <w:bottom w:val="none" w:sz="0" w:space="0" w:color="auto"/>
            <w:right w:val="none" w:sz="0" w:space="0" w:color="auto"/>
          </w:divBdr>
        </w:div>
        <w:div w:id="1618171313">
          <w:marLeft w:val="0"/>
          <w:marRight w:val="0"/>
          <w:marTop w:val="0"/>
          <w:marBottom w:val="0"/>
          <w:divBdr>
            <w:top w:val="none" w:sz="0" w:space="0" w:color="auto"/>
            <w:left w:val="none" w:sz="0" w:space="0" w:color="auto"/>
            <w:bottom w:val="none" w:sz="0" w:space="0" w:color="auto"/>
            <w:right w:val="none" w:sz="0" w:space="0" w:color="auto"/>
          </w:divBdr>
        </w:div>
        <w:div w:id="1701972810">
          <w:marLeft w:val="0"/>
          <w:marRight w:val="0"/>
          <w:marTop w:val="0"/>
          <w:marBottom w:val="0"/>
          <w:divBdr>
            <w:top w:val="none" w:sz="0" w:space="0" w:color="auto"/>
            <w:left w:val="none" w:sz="0" w:space="0" w:color="auto"/>
            <w:bottom w:val="none" w:sz="0" w:space="0" w:color="auto"/>
            <w:right w:val="none" w:sz="0" w:space="0" w:color="auto"/>
          </w:divBdr>
        </w:div>
        <w:div w:id="1716008787">
          <w:marLeft w:val="0"/>
          <w:marRight w:val="0"/>
          <w:marTop w:val="0"/>
          <w:marBottom w:val="0"/>
          <w:divBdr>
            <w:top w:val="none" w:sz="0" w:space="0" w:color="auto"/>
            <w:left w:val="none" w:sz="0" w:space="0" w:color="auto"/>
            <w:bottom w:val="none" w:sz="0" w:space="0" w:color="auto"/>
            <w:right w:val="none" w:sz="0" w:space="0" w:color="auto"/>
          </w:divBdr>
        </w:div>
        <w:div w:id="1793399733">
          <w:marLeft w:val="0"/>
          <w:marRight w:val="0"/>
          <w:marTop w:val="0"/>
          <w:marBottom w:val="0"/>
          <w:divBdr>
            <w:top w:val="none" w:sz="0" w:space="0" w:color="auto"/>
            <w:left w:val="none" w:sz="0" w:space="0" w:color="auto"/>
            <w:bottom w:val="none" w:sz="0" w:space="0" w:color="auto"/>
            <w:right w:val="none" w:sz="0" w:space="0" w:color="auto"/>
          </w:divBdr>
        </w:div>
        <w:div w:id="1826510537">
          <w:marLeft w:val="0"/>
          <w:marRight w:val="0"/>
          <w:marTop w:val="0"/>
          <w:marBottom w:val="0"/>
          <w:divBdr>
            <w:top w:val="none" w:sz="0" w:space="0" w:color="auto"/>
            <w:left w:val="none" w:sz="0" w:space="0" w:color="auto"/>
            <w:bottom w:val="none" w:sz="0" w:space="0" w:color="auto"/>
            <w:right w:val="none" w:sz="0" w:space="0" w:color="auto"/>
          </w:divBdr>
        </w:div>
        <w:div w:id="1843619933">
          <w:marLeft w:val="0"/>
          <w:marRight w:val="0"/>
          <w:marTop w:val="0"/>
          <w:marBottom w:val="0"/>
          <w:divBdr>
            <w:top w:val="none" w:sz="0" w:space="0" w:color="auto"/>
            <w:left w:val="none" w:sz="0" w:space="0" w:color="auto"/>
            <w:bottom w:val="none" w:sz="0" w:space="0" w:color="auto"/>
            <w:right w:val="none" w:sz="0" w:space="0" w:color="auto"/>
          </w:divBdr>
        </w:div>
        <w:div w:id="1883208140">
          <w:marLeft w:val="0"/>
          <w:marRight w:val="0"/>
          <w:marTop w:val="0"/>
          <w:marBottom w:val="0"/>
          <w:divBdr>
            <w:top w:val="none" w:sz="0" w:space="0" w:color="auto"/>
            <w:left w:val="none" w:sz="0" w:space="0" w:color="auto"/>
            <w:bottom w:val="none" w:sz="0" w:space="0" w:color="auto"/>
            <w:right w:val="none" w:sz="0" w:space="0" w:color="auto"/>
          </w:divBdr>
        </w:div>
        <w:div w:id="1914119801">
          <w:marLeft w:val="0"/>
          <w:marRight w:val="0"/>
          <w:marTop w:val="0"/>
          <w:marBottom w:val="0"/>
          <w:divBdr>
            <w:top w:val="none" w:sz="0" w:space="0" w:color="auto"/>
            <w:left w:val="none" w:sz="0" w:space="0" w:color="auto"/>
            <w:bottom w:val="none" w:sz="0" w:space="0" w:color="auto"/>
            <w:right w:val="none" w:sz="0" w:space="0" w:color="auto"/>
          </w:divBdr>
        </w:div>
        <w:div w:id="2030721588">
          <w:marLeft w:val="0"/>
          <w:marRight w:val="0"/>
          <w:marTop w:val="0"/>
          <w:marBottom w:val="0"/>
          <w:divBdr>
            <w:top w:val="none" w:sz="0" w:space="0" w:color="auto"/>
            <w:left w:val="none" w:sz="0" w:space="0" w:color="auto"/>
            <w:bottom w:val="none" w:sz="0" w:space="0" w:color="auto"/>
            <w:right w:val="none" w:sz="0" w:space="0" w:color="auto"/>
          </w:divBdr>
        </w:div>
        <w:div w:id="2103186875">
          <w:marLeft w:val="0"/>
          <w:marRight w:val="0"/>
          <w:marTop w:val="0"/>
          <w:marBottom w:val="0"/>
          <w:divBdr>
            <w:top w:val="none" w:sz="0" w:space="0" w:color="auto"/>
            <w:left w:val="none" w:sz="0" w:space="0" w:color="auto"/>
            <w:bottom w:val="none" w:sz="0" w:space="0" w:color="auto"/>
            <w:right w:val="none" w:sz="0" w:space="0" w:color="auto"/>
          </w:divBdr>
        </w:div>
      </w:divsChild>
    </w:div>
    <w:div w:id="1881281507">
      <w:bodyDiv w:val="1"/>
      <w:marLeft w:val="0"/>
      <w:marRight w:val="0"/>
      <w:marTop w:val="0"/>
      <w:marBottom w:val="0"/>
      <w:divBdr>
        <w:top w:val="none" w:sz="0" w:space="0" w:color="auto"/>
        <w:left w:val="none" w:sz="0" w:space="0" w:color="auto"/>
        <w:bottom w:val="none" w:sz="0" w:space="0" w:color="auto"/>
        <w:right w:val="none" w:sz="0" w:space="0" w:color="auto"/>
      </w:divBdr>
    </w:div>
    <w:div w:id="1883322124">
      <w:bodyDiv w:val="1"/>
      <w:marLeft w:val="0"/>
      <w:marRight w:val="0"/>
      <w:marTop w:val="0"/>
      <w:marBottom w:val="0"/>
      <w:divBdr>
        <w:top w:val="none" w:sz="0" w:space="0" w:color="auto"/>
        <w:left w:val="none" w:sz="0" w:space="0" w:color="auto"/>
        <w:bottom w:val="none" w:sz="0" w:space="0" w:color="auto"/>
        <w:right w:val="none" w:sz="0" w:space="0" w:color="auto"/>
      </w:divBdr>
      <w:divsChild>
        <w:div w:id="849834055">
          <w:marLeft w:val="0"/>
          <w:marRight w:val="0"/>
          <w:marTop w:val="0"/>
          <w:marBottom w:val="0"/>
          <w:divBdr>
            <w:top w:val="none" w:sz="0" w:space="0" w:color="auto"/>
            <w:left w:val="none" w:sz="0" w:space="0" w:color="auto"/>
            <w:bottom w:val="none" w:sz="0" w:space="0" w:color="auto"/>
            <w:right w:val="none" w:sz="0" w:space="0" w:color="auto"/>
          </w:divBdr>
        </w:div>
        <w:div w:id="1002318146">
          <w:marLeft w:val="0"/>
          <w:marRight w:val="0"/>
          <w:marTop w:val="0"/>
          <w:marBottom w:val="0"/>
          <w:divBdr>
            <w:top w:val="none" w:sz="0" w:space="0" w:color="auto"/>
            <w:left w:val="none" w:sz="0" w:space="0" w:color="auto"/>
            <w:bottom w:val="none" w:sz="0" w:space="0" w:color="auto"/>
            <w:right w:val="none" w:sz="0" w:space="0" w:color="auto"/>
          </w:divBdr>
        </w:div>
        <w:div w:id="1265069952">
          <w:marLeft w:val="0"/>
          <w:marRight w:val="0"/>
          <w:marTop w:val="0"/>
          <w:marBottom w:val="0"/>
          <w:divBdr>
            <w:top w:val="none" w:sz="0" w:space="0" w:color="auto"/>
            <w:left w:val="none" w:sz="0" w:space="0" w:color="auto"/>
            <w:bottom w:val="none" w:sz="0" w:space="0" w:color="auto"/>
            <w:right w:val="none" w:sz="0" w:space="0" w:color="auto"/>
          </w:divBdr>
        </w:div>
        <w:div w:id="1870290435">
          <w:marLeft w:val="0"/>
          <w:marRight w:val="0"/>
          <w:marTop w:val="0"/>
          <w:marBottom w:val="0"/>
          <w:divBdr>
            <w:top w:val="none" w:sz="0" w:space="0" w:color="auto"/>
            <w:left w:val="none" w:sz="0" w:space="0" w:color="auto"/>
            <w:bottom w:val="none" w:sz="0" w:space="0" w:color="auto"/>
            <w:right w:val="none" w:sz="0" w:space="0" w:color="auto"/>
          </w:divBdr>
        </w:div>
      </w:divsChild>
    </w:div>
    <w:div w:id="1884556266">
      <w:bodyDiv w:val="1"/>
      <w:marLeft w:val="0"/>
      <w:marRight w:val="0"/>
      <w:marTop w:val="0"/>
      <w:marBottom w:val="0"/>
      <w:divBdr>
        <w:top w:val="none" w:sz="0" w:space="0" w:color="auto"/>
        <w:left w:val="none" w:sz="0" w:space="0" w:color="auto"/>
        <w:bottom w:val="none" w:sz="0" w:space="0" w:color="auto"/>
        <w:right w:val="none" w:sz="0" w:space="0" w:color="auto"/>
      </w:divBdr>
      <w:divsChild>
        <w:div w:id="142623134">
          <w:marLeft w:val="0"/>
          <w:marRight w:val="0"/>
          <w:marTop w:val="0"/>
          <w:marBottom w:val="0"/>
          <w:divBdr>
            <w:top w:val="none" w:sz="0" w:space="0" w:color="auto"/>
            <w:left w:val="none" w:sz="0" w:space="0" w:color="auto"/>
            <w:bottom w:val="none" w:sz="0" w:space="0" w:color="auto"/>
            <w:right w:val="none" w:sz="0" w:space="0" w:color="auto"/>
          </w:divBdr>
        </w:div>
        <w:div w:id="276911703">
          <w:marLeft w:val="0"/>
          <w:marRight w:val="0"/>
          <w:marTop w:val="0"/>
          <w:marBottom w:val="0"/>
          <w:divBdr>
            <w:top w:val="none" w:sz="0" w:space="0" w:color="auto"/>
            <w:left w:val="none" w:sz="0" w:space="0" w:color="auto"/>
            <w:bottom w:val="none" w:sz="0" w:space="0" w:color="auto"/>
            <w:right w:val="none" w:sz="0" w:space="0" w:color="auto"/>
          </w:divBdr>
        </w:div>
        <w:div w:id="319582576">
          <w:marLeft w:val="0"/>
          <w:marRight w:val="0"/>
          <w:marTop w:val="0"/>
          <w:marBottom w:val="0"/>
          <w:divBdr>
            <w:top w:val="none" w:sz="0" w:space="0" w:color="auto"/>
            <w:left w:val="none" w:sz="0" w:space="0" w:color="auto"/>
            <w:bottom w:val="none" w:sz="0" w:space="0" w:color="auto"/>
            <w:right w:val="none" w:sz="0" w:space="0" w:color="auto"/>
          </w:divBdr>
        </w:div>
        <w:div w:id="359744928">
          <w:marLeft w:val="0"/>
          <w:marRight w:val="0"/>
          <w:marTop w:val="0"/>
          <w:marBottom w:val="0"/>
          <w:divBdr>
            <w:top w:val="none" w:sz="0" w:space="0" w:color="auto"/>
            <w:left w:val="none" w:sz="0" w:space="0" w:color="auto"/>
            <w:bottom w:val="none" w:sz="0" w:space="0" w:color="auto"/>
            <w:right w:val="none" w:sz="0" w:space="0" w:color="auto"/>
          </w:divBdr>
        </w:div>
        <w:div w:id="376200103">
          <w:marLeft w:val="0"/>
          <w:marRight w:val="0"/>
          <w:marTop w:val="0"/>
          <w:marBottom w:val="0"/>
          <w:divBdr>
            <w:top w:val="none" w:sz="0" w:space="0" w:color="auto"/>
            <w:left w:val="none" w:sz="0" w:space="0" w:color="auto"/>
            <w:bottom w:val="none" w:sz="0" w:space="0" w:color="auto"/>
            <w:right w:val="none" w:sz="0" w:space="0" w:color="auto"/>
          </w:divBdr>
        </w:div>
        <w:div w:id="489252873">
          <w:marLeft w:val="0"/>
          <w:marRight w:val="0"/>
          <w:marTop w:val="0"/>
          <w:marBottom w:val="0"/>
          <w:divBdr>
            <w:top w:val="none" w:sz="0" w:space="0" w:color="auto"/>
            <w:left w:val="none" w:sz="0" w:space="0" w:color="auto"/>
            <w:bottom w:val="none" w:sz="0" w:space="0" w:color="auto"/>
            <w:right w:val="none" w:sz="0" w:space="0" w:color="auto"/>
          </w:divBdr>
        </w:div>
        <w:div w:id="592665907">
          <w:marLeft w:val="0"/>
          <w:marRight w:val="0"/>
          <w:marTop w:val="0"/>
          <w:marBottom w:val="0"/>
          <w:divBdr>
            <w:top w:val="none" w:sz="0" w:space="0" w:color="auto"/>
            <w:left w:val="none" w:sz="0" w:space="0" w:color="auto"/>
            <w:bottom w:val="none" w:sz="0" w:space="0" w:color="auto"/>
            <w:right w:val="none" w:sz="0" w:space="0" w:color="auto"/>
          </w:divBdr>
        </w:div>
        <w:div w:id="683633963">
          <w:marLeft w:val="0"/>
          <w:marRight w:val="0"/>
          <w:marTop w:val="0"/>
          <w:marBottom w:val="0"/>
          <w:divBdr>
            <w:top w:val="none" w:sz="0" w:space="0" w:color="auto"/>
            <w:left w:val="none" w:sz="0" w:space="0" w:color="auto"/>
            <w:bottom w:val="none" w:sz="0" w:space="0" w:color="auto"/>
            <w:right w:val="none" w:sz="0" w:space="0" w:color="auto"/>
          </w:divBdr>
        </w:div>
        <w:div w:id="783571585">
          <w:marLeft w:val="0"/>
          <w:marRight w:val="0"/>
          <w:marTop w:val="0"/>
          <w:marBottom w:val="0"/>
          <w:divBdr>
            <w:top w:val="none" w:sz="0" w:space="0" w:color="auto"/>
            <w:left w:val="none" w:sz="0" w:space="0" w:color="auto"/>
            <w:bottom w:val="none" w:sz="0" w:space="0" w:color="auto"/>
            <w:right w:val="none" w:sz="0" w:space="0" w:color="auto"/>
          </w:divBdr>
        </w:div>
        <w:div w:id="819467666">
          <w:marLeft w:val="0"/>
          <w:marRight w:val="0"/>
          <w:marTop w:val="0"/>
          <w:marBottom w:val="0"/>
          <w:divBdr>
            <w:top w:val="none" w:sz="0" w:space="0" w:color="auto"/>
            <w:left w:val="none" w:sz="0" w:space="0" w:color="auto"/>
            <w:bottom w:val="none" w:sz="0" w:space="0" w:color="auto"/>
            <w:right w:val="none" w:sz="0" w:space="0" w:color="auto"/>
          </w:divBdr>
        </w:div>
        <w:div w:id="820388609">
          <w:marLeft w:val="0"/>
          <w:marRight w:val="0"/>
          <w:marTop w:val="0"/>
          <w:marBottom w:val="0"/>
          <w:divBdr>
            <w:top w:val="none" w:sz="0" w:space="0" w:color="auto"/>
            <w:left w:val="none" w:sz="0" w:space="0" w:color="auto"/>
            <w:bottom w:val="none" w:sz="0" w:space="0" w:color="auto"/>
            <w:right w:val="none" w:sz="0" w:space="0" w:color="auto"/>
          </w:divBdr>
        </w:div>
        <w:div w:id="885024750">
          <w:marLeft w:val="0"/>
          <w:marRight w:val="0"/>
          <w:marTop w:val="0"/>
          <w:marBottom w:val="0"/>
          <w:divBdr>
            <w:top w:val="none" w:sz="0" w:space="0" w:color="auto"/>
            <w:left w:val="none" w:sz="0" w:space="0" w:color="auto"/>
            <w:bottom w:val="none" w:sz="0" w:space="0" w:color="auto"/>
            <w:right w:val="none" w:sz="0" w:space="0" w:color="auto"/>
          </w:divBdr>
        </w:div>
        <w:div w:id="901209292">
          <w:marLeft w:val="0"/>
          <w:marRight w:val="0"/>
          <w:marTop w:val="0"/>
          <w:marBottom w:val="0"/>
          <w:divBdr>
            <w:top w:val="none" w:sz="0" w:space="0" w:color="auto"/>
            <w:left w:val="none" w:sz="0" w:space="0" w:color="auto"/>
            <w:bottom w:val="none" w:sz="0" w:space="0" w:color="auto"/>
            <w:right w:val="none" w:sz="0" w:space="0" w:color="auto"/>
          </w:divBdr>
        </w:div>
        <w:div w:id="1025600246">
          <w:marLeft w:val="0"/>
          <w:marRight w:val="0"/>
          <w:marTop w:val="0"/>
          <w:marBottom w:val="0"/>
          <w:divBdr>
            <w:top w:val="none" w:sz="0" w:space="0" w:color="auto"/>
            <w:left w:val="none" w:sz="0" w:space="0" w:color="auto"/>
            <w:bottom w:val="none" w:sz="0" w:space="0" w:color="auto"/>
            <w:right w:val="none" w:sz="0" w:space="0" w:color="auto"/>
          </w:divBdr>
        </w:div>
        <w:div w:id="1215695282">
          <w:marLeft w:val="0"/>
          <w:marRight w:val="0"/>
          <w:marTop w:val="0"/>
          <w:marBottom w:val="0"/>
          <w:divBdr>
            <w:top w:val="none" w:sz="0" w:space="0" w:color="auto"/>
            <w:left w:val="none" w:sz="0" w:space="0" w:color="auto"/>
            <w:bottom w:val="none" w:sz="0" w:space="0" w:color="auto"/>
            <w:right w:val="none" w:sz="0" w:space="0" w:color="auto"/>
          </w:divBdr>
        </w:div>
        <w:div w:id="1235504072">
          <w:marLeft w:val="0"/>
          <w:marRight w:val="0"/>
          <w:marTop w:val="0"/>
          <w:marBottom w:val="0"/>
          <w:divBdr>
            <w:top w:val="none" w:sz="0" w:space="0" w:color="auto"/>
            <w:left w:val="none" w:sz="0" w:space="0" w:color="auto"/>
            <w:bottom w:val="none" w:sz="0" w:space="0" w:color="auto"/>
            <w:right w:val="none" w:sz="0" w:space="0" w:color="auto"/>
          </w:divBdr>
        </w:div>
        <w:div w:id="1483699661">
          <w:marLeft w:val="0"/>
          <w:marRight w:val="0"/>
          <w:marTop w:val="0"/>
          <w:marBottom w:val="0"/>
          <w:divBdr>
            <w:top w:val="none" w:sz="0" w:space="0" w:color="auto"/>
            <w:left w:val="none" w:sz="0" w:space="0" w:color="auto"/>
            <w:bottom w:val="none" w:sz="0" w:space="0" w:color="auto"/>
            <w:right w:val="none" w:sz="0" w:space="0" w:color="auto"/>
          </w:divBdr>
        </w:div>
        <w:div w:id="1718814465">
          <w:marLeft w:val="0"/>
          <w:marRight w:val="0"/>
          <w:marTop w:val="0"/>
          <w:marBottom w:val="0"/>
          <w:divBdr>
            <w:top w:val="none" w:sz="0" w:space="0" w:color="auto"/>
            <w:left w:val="none" w:sz="0" w:space="0" w:color="auto"/>
            <w:bottom w:val="none" w:sz="0" w:space="0" w:color="auto"/>
            <w:right w:val="none" w:sz="0" w:space="0" w:color="auto"/>
          </w:divBdr>
        </w:div>
        <w:div w:id="1784694268">
          <w:marLeft w:val="0"/>
          <w:marRight w:val="0"/>
          <w:marTop w:val="0"/>
          <w:marBottom w:val="0"/>
          <w:divBdr>
            <w:top w:val="none" w:sz="0" w:space="0" w:color="auto"/>
            <w:left w:val="none" w:sz="0" w:space="0" w:color="auto"/>
            <w:bottom w:val="none" w:sz="0" w:space="0" w:color="auto"/>
            <w:right w:val="none" w:sz="0" w:space="0" w:color="auto"/>
          </w:divBdr>
        </w:div>
        <w:div w:id="1928809574">
          <w:marLeft w:val="0"/>
          <w:marRight w:val="0"/>
          <w:marTop w:val="0"/>
          <w:marBottom w:val="0"/>
          <w:divBdr>
            <w:top w:val="none" w:sz="0" w:space="0" w:color="auto"/>
            <w:left w:val="none" w:sz="0" w:space="0" w:color="auto"/>
            <w:bottom w:val="none" w:sz="0" w:space="0" w:color="auto"/>
            <w:right w:val="none" w:sz="0" w:space="0" w:color="auto"/>
          </w:divBdr>
        </w:div>
        <w:div w:id="1968660721">
          <w:marLeft w:val="0"/>
          <w:marRight w:val="0"/>
          <w:marTop w:val="0"/>
          <w:marBottom w:val="0"/>
          <w:divBdr>
            <w:top w:val="none" w:sz="0" w:space="0" w:color="auto"/>
            <w:left w:val="none" w:sz="0" w:space="0" w:color="auto"/>
            <w:bottom w:val="none" w:sz="0" w:space="0" w:color="auto"/>
            <w:right w:val="none" w:sz="0" w:space="0" w:color="auto"/>
          </w:divBdr>
        </w:div>
      </w:divsChild>
    </w:div>
    <w:div w:id="1885096079">
      <w:bodyDiv w:val="1"/>
      <w:marLeft w:val="0"/>
      <w:marRight w:val="0"/>
      <w:marTop w:val="0"/>
      <w:marBottom w:val="0"/>
      <w:divBdr>
        <w:top w:val="none" w:sz="0" w:space="0" w:color="auto"/>
        <w:left w:val="none" w:sz="0" w:space="0" w:color="auto"/>
        <w:bottom w:val="none" w:sz="0" w:space="0" w:color="auto"/>
        <w:right w:val="none" w:sz="0" w:space="0" w:color="auto"/>
      </w:divBdr>
      <w:divsChild>
        <w:div w:id="401879045">
          <w:marLeft w:val="0"/>
          <w:marRight w:val="0"/>
          <w:marTop w:val="0"/>
          <w:marBottom w:val="0"/>
          <w:divBdr>
            <w:top w:val="none" w:sz="0" w:space="0" w:color="auto"/>
            <w:left w:val="none" w:sz="0" w:space="0" w:color="auto"/>
            <w:bottom w:val="none" w:sz="0" w:space="0" w:color="auto"/>
            <w:right w:val="none" w:sz="0" w:space="0" w:color="auto"/>
          </w:divBdr>
        </w:div>
        <w:div w:id="419178931">
          <w:marLeft w:val="0"/>
          <w:marRight w:val="0"/>
          <w:marTop w:val="0"/>
          <w:marBottom w:val="0"/>
          <w:divBdr>
            <w:top w:val="none" w:sz="0" w:space="0" w:color="auto"/>
            <w:left w:val="none" w:sz="0" w:space="0" w:color="auto"/>
            <w:bottom w:val="none" w:sz="0" w:space="0" w:color="auto"/>
            <w:right w:val="none" w:sz="0" w:space="0" w:color="auto"/>
          </w:divBdr>
        </w:div>
        <w:div w:id="1116800009">
          <w:marLeft w:val="0"/>
          <w:marRight w:val="0"/>
          <w:marTop w:val="0"/>
          <w:marBottom w:val="0"/>
          <w:divBdr>
            <w:top w:val="none" w:sz="0" w:space="0" w:color="auto"/>
            <w:left w:val="none" w:sz="0" w:space="0" w:color="auto"/>
            <w:bottom w:val="none" w:sz="0" w:space="0" w:color="auto"/>
            <w:right w:val="none" w:sz="0" w:space="0" w:color="auto"/>
          </w:divBdr>
        </w:div>
        <w:div w:id="1117913204">
          <w:marLeft w:val="0"/>
          <w:marRight w:val="0"/>
          <w:marTop w:val="0"/>
          <w:marBottom w:val="0"/>
          <w:divBdr>
            <w:top w:val="none" w:sz="0" w:space="0" w:color="auto"/>
            <w:left w:val="none" w:sz="0" w:space="0" w:color="auto"/>
            <w:bottom w:val="none" w:sz="0" w:space="0" w:color="auto"/>
            <w:right w:val="none" w:sz="0" w:space="0" w:color="auto"/>
          </w:divBdr>
        </w:div>
        <w:div w:id="1175682010">
          <w:marLeft w:val="0"/>
          <w:marRight w:val="0"/>
          <w:marTop w:val="0"/>
          <w:marBottom w:val="0"/>
          <w:divBdr>
            <w:top w:val="none" w:sz="0" w:space="0" w:color="auto"/>
            <w:left w:val="none" w:sz="0" w:space="0" w:color="auto"/>
            <w:bottom w:val="none" w:sz="0" w:space="0" w:color="auto"/>
            <w:right w:val="none" w:sz="0" w:space="0" w:color="auto"/>
          </w:divBdr>
        </w:div>
        <w:div w:id="1294362790">
          <w:marLeft w:val="0"/>
          <w:marRight w:val="0"/>
          <w:marTop w:val="0"/>
          <w:marBottom w:val="0"/>
          <w:divBdr>
            <w:top w:val="none" w:sz="0" w:space="0" w:color="auto"/>
            <w:left w:val="none" w:sz="0" w:space="0" w:color="auto"/>
            <w:bottom w:val="none" w:sz="0" w:space="0" w:color="auto"/>
            <w:right w:val="none" w:sz="0" w:space="0" w:color="auto"/>
          </w:divBdr>
        </w:div>
        <w:div w:id="2094888160">
          <w:marLeft w:val="0"/>
          <w:marRight w:val="0"/>
          <w:marTop w:val="0"/>
          <w:marBottom w:val="0"/>
          <w:divBdr>
            <w:top w:val="none" w:sz="0" w:space="0" w:color="auto"/>
            <w:left w:val="none" w:sz="0" w:space="0" w:color="auto"/>
            <w:bottom w:val="none" w:sz="0" w:space="0" w:color="auto"/>
            <w:right w:val="none" w:sz="0" w:space="0" w:color="auto"/>
          </w:divBdr>
        </w:div>
      </w:divsChild>
    </w:div>
    <w:div w:id="1899434891">
      <w:bodyDiv w:val="1"/>
      <w:marLeft w:val="0"/>
      <w:marRight w:val="0"/>
      <w:marTop w:val="0"/>
      <w:marBottom w:val="0"/>
      <w:divBdr>
        <w:top w:val="none" w:sz="0" w:space="0" w:color="auto"/>
        <w:left w:val="none" w:sz="0" w:space="0" w:color="auto"/>
        <w:bottom w:val="none" w:sz="0" w:space="0" w:color="auto"/>
        <w:right w:val="none" w:sz="0" w:space="0" w:color="auto"/>
      </w:divBdr>
      <w:divsChild>
        <w:div w:id="117455774">
          <w:marLeft w:val="0"/>
          <w:marRight w:val="0"/>
          <w:marTop w:val="0"/>
          <w:marBottom w:val="0"/>
          <w:divBdr>
            <w:top w:val="none" w:sz="0" w:space="0" w:color="auto"/>
            <w:left w:val="none" w:sz="0" w:space="0" w:color="auto"/>
            <w:bottom w:val="none" w:sz="0" w:space="0" w:color="auto"/>
            <w:right w:val="none" w:sz="0" w:space="0" w:color="auto"/>
          </w:divBdr>
        </w:div>
        <w:div w:id="984510491">
          <w:marLeft w:val="0"/>
          <w:marRight w:val="0"/>
          <w:marTop w:val="0"/>
          <w:marBottom w:val="0"/>
          <w:divBdr>
            <w:top w:val="none" w:sz="0" w:space="0" w:color="auto"/>
            <w:left w:val="none" w:sz="0" w:space="0" w:color="auto"/>
            <w:bottom w:val="none" w:sz="0" w:space="0" w:color="auto"/>
            <w:right w:val="none" w:sz="0" w:space="0" w:color="auto"/>
          </w:divBdr>
        </w:div>
        <w:div w:id="1926458292">
          <w:marLeft w:val="0"/>
          <w:marRight w:val="0"/>
          <w:marTop w:val="0"/>
          <w:marBottom w:val="0"/>
          <w:divBdr>
            <w:top w:val="none" w:sz="0" w:space="0" w:color="auto"/>
            <w:left w:val="none" w:sz="0" w:space="0" w:color="auto"/>
            <w:bottom w:val="none" w:sz="0" w:space="0" w:color="auto"/>
            <w:right w:val="none" w:sz="0" w:space="0" w:color="auto"/>
          </w:divBdr>
        </w:div>
        <w:div w:id="1947469594">
          <w:marLeft w:val="0"/>
          <w:marRight w:val="0"/>
          <w:marTop w:val="0"/>
          <w:marBottom w:val="0"/>
          <w:divBdr>
            <w:top w:val="none" w:sz="0" w:space="0" w:color="auto"/>
            <w:left w:val="none" w:sz="0" w:space="0" w:color="auto"/>
            <w:bottom w:val="none" w:sz="0" w:space="0" w:color="auto"/>
            <w:right w:val="none" w:sz="0" w:space="0" w:color="auto"/>
          </w:divBdr>
        </w:div>
      </w:divsChild>
    </w:div>
    <w:div w:id="1910379676">
      <w:bodyDiv w:val="1"/>
      <w:marLeft w:val="0"/>
      <w:marRight w:val="0"/>
      <w:marTop w:val="0"/>
      <w:marBottom w:val="0"/>
      <w:divBdr>
        <w:top w:val="none" w:sz="0" w:space="0" w:color="auto"/>
        <w:left w:val="none" w:sz="0" w:space="0" w:color="auto"/>
        <w:bottom w:val="none" w:sz="0" w:space="0" w:color="auto"/>
        <w:right w:val="none" w:sz="0" w:space="0" w:color="auto"/>
      </w:divBdr>
      <w:divsChild>
        <w:div w:id="198206004">
          <w:marLeft w:val="0"/>
          <w:marRight w:val="0"/>
          <w:marTop w:val="0"/>
          <w:marBottom w:val="0"/>
          <w:divBdr>
            <w:top w:val="none" w:sz="0" w:space="0" w:color="auto"/>
            <w:left w:val="none" w:sz="0" w:space="0" w:color="auto"/>
            <w:bottom w:val="none" w:sz="0" w:space="0" w:color="auto"/>
            <w:right w:val="none" w:sz="0" w:space="0" w:color="auto"/>
          </w:divBdr>
        </w:div>
        <w:div w:id="1405107667">
          <w:marLeft w:val="0"/>
          <w:marRight w:val="0"/>
          <w:marTop w:val="0"/>
          <w:marBottom w:val="0"/>
          <w:divBdr>
            <w:top w:val="none" w:sz="0" w:space="0" w:color="auto"/>
            <w:left w:val="none" w:sz="0" w:space="0" w:color="auto"/>
            <w:bottom w:val="none" w:sz="0" w:space="0" w:color="auto"/>
            <w:right w:val="none" w:sz="0" w:space="0" w:color="auto"/>
          </w:divBdr>
        </w:div>
        <w:div w:id="2071607522">
          <w:marLeft w:val="0"/>
          <w:marRight w:val="0"/>
          <w:marTop w:val="0"/>
          <w:marBottom w:val="0"/>
          <w:divBdr>
            <w:top w:val="none" w:sz="0" w:space="0" w:color="auto"/>
            <w:left w:val="none" w:sz="0" w:space="0" w:color="auto"/>
            <w:bottom w:val="none" w:sz="0" w:space="0" w:color="auto"/>
            <w:right w:val="none" w:sz="0" w:space="0" w:color="auto"/>
          </w:divBdr>
        </w:div>
      </w:divsChild>
    </w:div>
    <w:div w:id="1948345242">
      <w:bodyDiv w:val="1"/>
      <w:marLeft w:val="0"/>
      <w:marRight w:val="0"/>
      <w:marTop w:val="0"/>
      <w:marBottom w:val="0"/>
      <w:divBdr>
        <w:top w:val="none" w:sz="0" w:space="0" w:color="auto"/>
        <w:left w:val="none" w:sz="0" w:space="0" w:color="auto"/>
        <w:bottom w:val="none" w:sz="0" w:space="0" w:color="auto"/>
        <w:right w:val="none" w:sz="0" w:space="0" w:color="auto"/>
      </w:divBdr>
      <w:divsChild>
        <w:div w:id="134614916">
          <w:marLeft w:val="0"/>
          <w:marRight w:val="0"/>
          <w:marTop w:val="0"/>
          <w:marBottom w:val="0"/>
          <w:divBdr>
            <w:top w:val="none" w:sz="0" w:space="0" w:color="auto"/>
            <w:left w:val="none" w:sz="0" w:space="0" w:color="auto"/>
            <w:bottom w:val="none" w:sz="0" w:space="0" w:color="auto"/>
            <w:right w:val="none" w:sz="0" w:space="0" w:color="auto"/>
          </w:divBdr>
        </w:div>
        <w:div w:id="270167960">
          <w:marLeft w:val="0"/>
          <w:marRight w:val="0"/>
          <w:marTop w:val="0"/>
          <w:marBottom w:val="0"/>
          <w:divBdr>
            <w:top w:val="none" w:sz="0" w:space="0" w:color="auto"/>
            <w:left w:val="none" w:sz="0" w:space="0" w:color="auto"/>
            <w:bottom w:val="none" w:sz="0" w:space="0" w:color="auto"/>
            <w:right w:val="none" w:sz="0" w:space="0" w:color="auto"/>
          </w:divBdr>
        </w:div>
        <w:div w:id="318272209">
          <w:marLeft w:val="0"/>
          <w:marRight w:val="0"/>
          <w:marTop w:val="0"/>
          <w:marBottom w:val="0"/>
          <w:divBdr>
            <w:top w:val="none" w:sz="0" w:space="0" w:color="auto"/>
            <w:left w:val="none" w:sz="0" w:space="0" w:color="auto"/>
            <w:bottom w:val="none" w:sz="0" w:space="0" w:color="auto"/>
            <w:right w:val="none" w:sz="0" w:space="0" w:color="auto"/>
          </w:divBdr>
        </w:div>
        <w:div w:id="665087633">
          <w:marLeft w:val="0"/>
          <w:marRight w:val="0"/>
          <w:marTop w:val="0"/>
          <w:marBottom w:val="0"/>
          <w:divBdr>
            <w:top w:val="none" w:sz="0" w:space="0" w:color="auto"/>
            <w:left w:val="none" w:sz="0" w:space="0" w:color="auto"/>
            <w:bottom w:val="none" w:sz="0" w:space="0" w:color="auto"/>
            <w:right w:val="none" w:sz="0" w:space="0" w:color="auto"/>
          </w:divBdr>
        </w:div>
        <w:div w:id="760569895">
          <w:marLeft w:val="0"/>
          <w:marRight w:val="0"/>
          <w:marTop w:val="0"/>
          <w:marBottom w:val="0"/>
          <w:divBdr>
            <w:top w:val="none" w:sz="0" w:space="0" w:color="auto"/>
            <w:left w:val="none" w:sz="0" w:space="0" w:color="auto"/>
            <w:bottom w:val="none" w:sz="0" w:space="0" w:color="auto"/>
            <w:right w:val="none" w:sz="0" w:space="0" w:color="auto"/>
          </w:divBdr>
        </w:div>
        <w:div w:id="955716335">
          <w:marLeft w:val="0"/>
          <w:marRight w:val="0"/>
          <w:marTop w:val="0"/>
          <w:marBottom w:val="0"/>
          <w:divBdr>
            <w:top w:val="none" w:sz="0" w:space="0" w:color="auto"/>
            <w:left w:val="none" w:sz="0" w:space="0" w:color="auto"/>
            <w:bottom w:val="none" w:sz="0" w:space="0" w:color="auto"/>
            <w:right w:val="none" w:sz="0" w:space="0" w:color="auto"/>
          </w:divBdr>
        </w:div>
        <w:div w:id="964773682">
          <w:marLeft w:val="0"/>
          <w:marRight w:val="0"/>
          <w:marTop w:val="0"/>
          <w:marBottom w:val="0"/>
          <w:divBdr>
            <w:top w:val="none" w:sz="0" w:space="0" w:color="auto"/>
            <w:left w:val="none" w:sz="0" w:space="0" w:color="auto"/>
            <w:bottom w:val="none" w:sz="0" w:space="0" w:color="auto"/>
            <w:right w:val="none" w:sz="0" w:space="0" w:color="auto"/>
          </w:divBdr>
        </w:div>
        <w:div w:id="1142187289">
          <w:marLeft w:val="0"/>
          <w:marRight w:val="0"/>
          <w:marTop w:val="0"/>
          <w:marBottom w:val="0"/>
          <w:divBdr>
            <w:top w:val="none" w:sz="0" w:space="0" w:color="auto"/>
            <w:left w:val="none" w:sz="0" w:space="0" w:color="auto"/>
            <w:bottom w:val="none" w:sz="0" w:space="0" w:color="auto"/>
            <w:right w:val="none" w:sz="0" w:space="0" w:color="auto"/>
          </w:divBdr>
        </w:div>
        <w:div w:id="1222592978">
          <w:marLeft w:val="0"/>
          <w:marRight w:val="0"/>
          <w:marTop w:val="0"/>
          <w:marBottom w:val="0"/>
          <w:divBdr>
            <w:top w:val="none" w:sz="0" w:space="0" w:color="auto"/>
            <w:left w:val="none" w:sz="0" w:space="0" w:color="auto"/>
            <w:bottom w:val="none" w:sz="0" w:space="0" w:color="auto"/>
            <w:right w:val="none" w:sz="0" w:space="0" w:color="auto"/>
          </w:divBdr>
        </w:div>
        <w:div w:id="1258096836">
          <w:marLeft w:val="0"/>
          <w:marRight w:val="0"/>
          <w:marTop w:val="0"/>
          <w:marBottom w:val="0"/>
          <w:divBdr>
            <w:top w:val="none" w:sz="0" w:space="0" w:color="auto"/>
            <w:left w:val="none" w:sz="0" w:space="0" w:color="auto"/>
            <w:bottom w:val="none" w:sz="0" w:space="0" w:color="auto"/>
            <w:right w:val="none" w:sz="0" w:space="0" w:color="auto"/>
          </w:divBdr>
        </w:div>
        <w:div w:id="1275484132">
          <w:marLeft w:val="0"/>
          <w:marRight w:val="0"/>
          <w:marTop w:val="0"/>
          <w:marBottom w:val="0"/>
          <w:divBdr>
            <w:top w:val="none" w:sz="0" w:space="0" w:color="auto"/>
            <w:left w:val="none" w:sz="0" w:space="0" w:color="auto"/>
            <w:bottom w:val="none" w:sz="0" w:space="0" w:color="auto"/>
            <w:right w:val="none" w:sz="0" w:space="0" w:color="auto"/>
          </w:divBdr>
        </w:div>
        <w:div w:id="1344936279">
          <w:marLeft w:val="0"/>
          <w:marRight w:val="0"/>
          <w:marTop w:val="0"/>
          <w:marBottom w:val="0"/>
          <w:divBdr>
            <w:top w:val="none" w:sz="0" w:space="0" w:color="auto"/>
            <w:left w:val="none" w:sz="0" w:space="0" w:color="auto"/>
            <w:bottom w:val="none" w:sz="0" w:space="0" w:color="auto"/>
            <w:right w:val="none" w:sz="0" w:space="0" w:color="auto"/>
          </w:divBdr>
        </w:div>
        <w:div w:id="1352416015">
          <w:marLeft w:val="0"/>
          <w:marRight w:val="0"/>
          <w:marTop w:val="0"/>
          <w:marBottom w:val="0"/>
          <w:divBdr>
            <w:top w:val="none" w:sz="0" w:space="0" w:color="auto"/>
            <w:left w:val="none" w:sz="0" w:space="0" w:color="auto"/>
            <w:bottom w:val="none" w:sz="0" w:space="0" w:color="auto"/>
            <w:right w:val="none" w:sz="0" w:space="0" w:color="auto"/>
          </w:divBdr>
        </w:div>
        <w:div w:id="1469207852">
          <w:marLeft w:val="0"/>
          <w:marRight w:val="0"/>
          <w:marTop w:val="0"/>
          <w:marBottom w:val="0"/>
          <w:divBdr>
            <w:top w:val="none" w:sz="0" w:space="0" w:color="auto"/>
            <w:left w:val="none" w:sz="0" w:space="0" w:color="auto"/>
            <w:bottom w:val="none" w:sz="0" w:space="0" w:color="auto"/>
            <w:right w:val="none" w:sz="0" w:space="0" w:color="auto"/>
          </w:divBdr>
        </w:div>
        <w:div w:id="1493638705">
          <w:marLeft w:val="0"/>
          <w:marRight w:val="0"/>
          <w:marTop w:val="0"/>
          <w:marBottom w:val="0"/>
          <w:divBdr>
            <w:top w:val="none" w:sz="0" w:space="0" w:color="auto"/>
            <w:left w:val="none" w:sz="0" w:space="0" w:color="auto"/>
            <w:bottom w:val="none" w:sz="0" w:space="0" w:color="auto"/>
            <w:right w:val="none" w:sz="0" w:space="0" w:color="auto"/>
          </w:divBdr>
        </w:div>
        <w:div w:id="1556039947">
          <w:marLeft w:val="0"/>
          <w:marRight w:val="0"/>
          <w:marTop w:val="0"/>
          <w:marBottom w:val="0"/>
          <w:divBdr>
            <w:top w:val="none" w:sz="0" w:space="0" w:color="auto"/>
            <w:left w:val="none" w:sz="0" w:space="0" w:color="auto"/>
            <w:bottom w:val="none" w:sz="0" w:space="0" w:color="auto"/>
            <w:right w:val="none" w:sz="0" w:space="0" w:color="auto"/>
          </w:divBdr>
        </w:div>
        <w:div w:id="1576092450">
          <w:marLeft w:val="0"/>
          <w:marRight w:val="0"/>
          <w:marTop w:val="0"/>
          <w:marBottom w:val="0"/>
          <w:divBdr>
            <w:top w:val="none" w:sz="0" w:space="0" w:color="auto"/>
            <w:left w:val="none" w:sz="0" w:space="0" w:color="auto"/>
            <w:bottom w:val="none" w:sz="0" w:space="0" w:color="auto"/>
            <w:right w:val="none" w:sz="0" w:space="0" w:color="auto"/>
          </w:divBdr>
        </w:div>
        <w:div w:id="1687320296">
          <w:marLeft w:val="0"/>
          <w:marRight w:val="0"/>
          <w:marTop w:val="0"/>
          <w:marBottom w:val="0"/>
          <w:divBdr>
            <w:top w:val="none" w:sz="0" w:space="0" w:color="auto"/>
            <w:left w:val="none" w:sz="0" w:space="0" w:color="auto"/>
            <w:bottom w:val="none" w:sz="0" w:space="0" w:color="auto"/>
            <w:right w:val="none" w:sz="0" w:space="0" w:color="auto"/>
          </w:divBdr>
        </w:div>
        <w:div w:id="1761438885">
          <w:marLeft w:val="0"/>
          <w:marRight w:val="0"/>
          <w:marTop w:val="0"/>
          <w:marBottom w:val="0"/>
          <w:divBdr>
            <w:top w:val="none" w:sz="0" w:space="0" w:color="auto"/>
            <w:left w:val="none" w:sz="0" w:space="0" w:color="auto"/>
            <w:bottom w:val="none" w:sz="0" w:space="0" w:color="auto"/>
            <w:right w:val="none" w:sz="0" w:space="0" w:color="auto"/>
          </w:divBdr>
        </w:div>
        <w:div w:id="1797142761">
          <w:marLeft w:val="0"/>
          <w:marRight w:val="0"/>
          <w:marTop w:val="0"/>
          <w:marBottom w:val="0"/>
          <w:divBdr>
            <w:top w:val="none" w:sz="0" w:space="0" w:color="auto"/>
            <w:left w:val="none" w:sz="0" w:space="0" w:color="auto"/>
            <w:bottom w:val="none" w:sz="0" w:space="0" w:color="auto"/>
            <w:right w:val="none" w:sz="0" w:space="0" w:color="auto"/>
          </w:divBdr>
        </w:div>
      </w:divsChild>
    </w:div>
    <w:div w:id="1951355116">
      <w:bodyDiv w:val="1"/>
      <w:marLeft w:val="0"/>
      <w:marRight w:val="0"/>
      <w:marTop w:val="0"/>
      <w:marBottom w:val="0"/>
      <w:divBdr>
        <w:top w:val="none" w:sz="0" w:space="0" w:color="auto"/>
        <w:left w:val="none" w:sz="0" w:space="0" w:color="auto"/>
        <w:bottom w:val="none" w:sz="0" w:space="0" w:color="auto"/>
        <w:right w:val="none" w:sz="0" w:space="0" w:color="auto"/>
      </w:divBdr>
      <w:divsChild>
        <w:div w:id="364259910">
          <w:marLeft w:val="0"/>
          <w:marRight w:val="0"/>
          <w:marTop w:val="0"/>
          <w:marBottom w:val="0"/>
          <w:divBdr>
            <w:top w:val="none" w:sz="0" w:space="0" w:color="auto"/>
            <w:left w:val="none" w:sz="0" w:space="0" w:color="auto"/>
            <w:bottom w:val="none" w:sz="0" w:space="0" w:color="auto"/>
            <w:right w:val="none" w:sz="0" w:space="0" w:color="auto"/>
          </w:divBdr>
        </w:div>
        <w:div w:id="516696624">
          <w:marLeft w:val="0"/>
          <w:marRight w:val="0"/>
          <w:marTop w:val="0"/>
          <w:marBottom w:val="0"/>
          <w:divBdr>
            <w:top w:val="none" w:sz="0" w:space="0" w:color="auto"/>
            <w:left w:val="none" w:sz="0" w:space="0" w:color="auto"/>
            <w:bottom w:val="none" w:sz="0" w:space="0" w:color="auto"/>
            <w:right w:val="none" w:sz="0" w:space="0" w:color="auto"/>
          </w:divBdr>
        </w:div>
        <w:div w:id="602765537">
          <w:marLeft w:val="0"/>
          <w:marRight w:val="0"/>
          <w:marTop w:val="0"/>
          <w:marBottom w:val="0"/>
          <w:divBdr>
            <w:top w:val="none" w:sz="0" w:space="0" w:color="auto"/>
            <w:left w:val="none" w:sz="0" w:space="0" w:color="auto"/>
            <w:bottom w:val="none" w:sz="0" w:space="0" w:color="auto"/>
            <w:right w:val="none" w:sz="0" w:space="0" w:color="auto"/>
          </w:divBdr>
        </w:div>
        <w:div w:id="616563116">
          <w:marLeft w:val="0"/>
          <w:marRight w:val="0"/>
          <w:marTop w:val="0"/>
          <w:marBottom w:val="0"/>
          <w:divBdr>
            <w:top w:val="none" w:sz="0" w:space="0" w:color="auto"/>
            <w:left w:val="none" w:sz="0" w:space="0" w:color="auto"/>
            <w:bottom w:val="none" w:sz="0" w:space="0" w:color="auto"/>
            <w:right w:val="none" w:sz="0" w:space="0" w:color="auto"/>
          </w:divBdr>
        </w:div>
        <w:div w:id="867909449">
          <w:marLeft w:val="0"/>
          <w:marRight w:val="0"/>
          <w:marTop w:val="0"/>
          <w:marBottom w:val="0"/>
          <w:divBdr>
            <w:top w:val="none" w:sz="0" w:space="0" w:color="auto"/>
            <w:left w:val="none" w:sz="0" w:space="0" w:color="auto"/>
            <w:bottom w:val="none" w:sz="0" w:space="0" w:color="auto"/>
            <w:right w:val="none" w:sz="0" w:space="0" w:color="auto"/>
          </w:divBdr>
        </w:div>
        <w:div w:id="883835272">
          <w:marLeft w:val="0"/>
          <w:marRight w:val="0"/>
          <w:marTop w:val="0"/>
          <w:marBottom w:val="0"/>
          <w:divBdr>
            <w:top w:val="none" w:sz="0" w:space="0" w:color="auto"/>
            <w:left w:val="none" w:sz="0" w:space="0" w:color="auto"/>
            <w:bottom w:val="none" w:sz="0" w:space="0" w:color="auto"/>
            <w:right w:val="none" w:sz="0" w:space="0" w:color="auto"/>
          </w:divBdr>
        </w:div>
        <w:div w:id="1240092747">
          <w:marLeft w:val="0"/>
          <w:marRight w:val="0"/>
          <w:marTop w:val="0"/>
          <w:marBottom w:val="0"/>
          <w:divBdr>
            <w:top w:val="none" w:sz="0" w:space="0" w:color="auto"/>
            <w:left w:val="none" w:sz="0" w:space="0" w:color="auto"/>
            <w:bottom w:val="none" w:sz="0" w:space="0" w:color="auto"/>
            <w:right w:val="none" w:sz="0" w:space="0" w:color="auto"/>
          </w:divBdr>
        </w:div>
        <w:div w:id="1402366474">
          <w:marLeft w:val="0"/>
          <w:marRight w:val="0"/>
          <w:marTop w:val="0"/>
          <w:marBottom w:val="0"/>
          <w:divBdr>
            <w:top w:val="none" w:sz="0" w:space="0" w:color="auto"/>
            <w:left w:val="none" w:sz="0" w:space="0" w:color="auto"/>
            <w:bottom w:val="none" w:sz="0" w:space="0" w:color="auto"/>
            <w:right w:val="none" w:sz="0" w:space="0" w:color="auto"/>
          </w:divBdr>
        </w:div>
        <w:div w:id="1768234104">
          <w:marLeft w:val="0"/>
          <w:marRight w:val="0"/>
          <w:marTop w:val="0"/>
          <w:marBottom w:val="0"/>
          <w:divBdr>
            <w:top w:val="none" w:sz="0" w:space="0" w:color="auto"/>
            <w:left w:val="none" w:sz="0" w:space="0" w:color="auto"/>
            <w:bottom w:val="none" w:sz="0" w:space="0" w:color="auto"/>
            <w:right w:val="none" w:sz="0" w:space="0" w:color="auto"/>
          </w:divBdr>
        </w:div>
        <w:div w:id="2052488579">
          <w:marLeft w:val="0"/>
          <w:marRight w:val="0"/>
          <w:marTop w:val="0"/>
          <w:marBottom w:val="0"/>
          <w:divBdr>
            <w:top w:val="none" w:sz="0" w:space="0" w:color="auto"/>
            <w:left w:val="none" w:sz="0" w:space="0" w:color="auto"/>
            <w:bottom w:val="none" w:sz="0" w:space="0" w:color="auto"/>
            <w:right w:val="none" w:sz="0" w:space="0" w:color="auto"/>
          </w:divBdr>
        </w:div>
      </w:divsChild>
    </w:div>
    <w:div w:id="1957371296">
      <w:bodyDiv w:val="1"/>
      <w:marLeft w:val="0"/>
      <w:marRight w:val="0"/>
      <w:marTop w:val="0"/>
      <w:marBottom w:val="0"/>
      <w:divBdr>
        <w:top w:val="none" w:sz="0" w:space="0" w:color="auto"/>
        <w:left w:val="none" w:sz="0" w:space="0" w:color="auto"/>
        <w:bottom w:val="none" w:sz="0" w:space="0" w:color="auto"/>
        <w:right w:val="none" w:sz="0" w:space="0" w:color="auto"/>
      </w:divBdr>
      <w:divsChild>
        <w:div w:id="1421170847">
          <w:marLeft w:val="0"/>
          <w:marRight w:val="0"/>
          <w:marTop w:val="0"/>
          <w:marBottom w:val="0"/>
          <w:divBdr>
            <w:top w:val="none" w:sz="0" w:space="0" w:color="auto"/>
            <w:left w:val="none" w:sz="0" w:space="0" w:color="auto"/>
            <w:bottom w:val="none" w:sz="0" w:space="0" w:color="auto"/>
            <w:right w:val="none" w:sz="0" w:space="0" w:color="auto"/>
          </w:divBdr>
        </w:div>
        <w:div w:id="1488128884">
          <w:marLeft w:val="0"/>
          <w:marRight w:val="0"/>
          <w:marTop w:val="0"/>
          <w:marBottom w:val="0"/>
          <w:divBdr>
            <w:top w:val="none" w:sz="0" w:space="0" w:color="auto"/>
            <w:left w:val="none" w:sz="0" w:space="0" w:color="auto"/>
            <w:bottom w:val="none" w:sz="0" w:space="0" w:color="auto"/>
            <w:right w:val="none" w:sz="0" w:space="0" w:color="auto"/>
          </w:divBdr>
        </w:div>
        <w:div w:id="1602568112">
          <w:marLeft w:val="0"/>
          <w:marRight w:val="0"/>
          <w:marTop w:val="0"/>
          <w:marBottom w:val="0"/>
          <w:divBdr>
            <w:top w:val="none" w:sz="0" w:space="0" w:color="auto"/>
            <w:left w:val="none" w:sz="0" w:space="0" w:color="auto"/>
            <w:bottom w:val="none" w:sz="0" w:space="0" w:color="auto"/>
            <w:right w:val="none" w:sz="0" w:space="0" w:color="auto"/>
          </w:divBdr>
        </w:div>
      </w:divsChild>
    </w:div>
    <w:div w:id="1988515493">
      <w:bodyDiv w:val="1"/>
      <w:marLeft w:val="0"/>
      <w:marRight w:val="0"/>
      <w:marTop w:val="0"/>
      <w:marBottom w:val="0"/>
      <w:divBdr>
        <w:top w:val="none" w:sz="0" w:space="0" w:color="auto"/>
        <w:left w:val="none" w:sz="0" w:space="0" w:color="auto"/>
        <w:bottom w:val="none" w:sz="0" w:space="0" w:color="auto"/>
        <w:right w:val="none" w:sz="0" w:space="0" w:color="auto"/>
      </w:divBdr>
      <w:divsChild>
        <w:div w:id="193269235">
          <w:marLeft w:val="0"/>
          <w:marRight w:val="0"/>
          <w:marTop w:val="0"/>
          <w:marBottom w:val="0"/>
          <w:divBdr>
            <w:top w:val="none" w:sz="0" w:space="0" w:color="auto"/>
            <w:left w:val="none" w:sz="0" w:space="0" w:color="auto"/>
            <w:bottom w:val="none" w:sz="0" w:space="0" w:color="auto"/>
            <w:right w:val="none" w:sz="0" w:space="0" w:color="auto"/>
          </w:divBdr>
        </w:div>
        <w:div w:id="651298476">
          <w:marLeft w:val="0"/>
          <w:marRight w:val="0"/>
          <w:marTop w:val="0"/>
          <w:marBottom w:val="0"/>
          <w:divBdr>
            <w:top w:val="none" w:sz="0" w:space="0" w:color="auto"/>
            <w:left w:val="none" w:sz="0" w:space="0" w:color="auto"/>
            <w:bottom w:val="none" w:sz="0" w:space="0" w:color="auto"/>
            <w:right w:val="none" w:sz="0" w:space="0" w:color="auto"/>
          </w:divBdr>
        </w:div>
        <w:div w:id="1822848172">
          <w:marLeft w:val="0"/>
          <w:marRight w:val="0"/>
          <w:marTop w:val="0"/>
          <w:marBottom w:val="0"/>
          <w:divBdr>
            <w:top w:val="none" w:sz="0" w:space="0" w:color="auto"/>
            <w:left w:val="none" w:sz="0" w:space="0" w:color="auto"/>
            <w:bottom w:val="none" w:sz="0" w:space="0" w:color="auto"/>
            <w:right w:val="none" w:sz="0" w:space="0" w:color="auto"/>
          </w:divBdr>
        </w:div>
        <w:div w:id="1955820822">
          <w:marLeft w:val="0"/>
          <w:marRight w:val="0"/>
          <w:marTop w:val="0"/>
          <w:marBottom w:val="0"/>
          <w:divBdr>
            <w:top w:val="none" w:sz="0" w:space="0" w:color="auto"/>
            <w:left w:val="none" w:sz="0" w:space="0" w:color="auto"/>
            <w:bottom w:val="none" w:sz="0" w:space="0" w:color="auto"/>
            <w:right w:val="none" w:sz="0" w:space="0" w:color="auto"/>
          </w:divBdr>
        </w:div>
      </w:divsChild>
    </w:div>
    <w:div w:id="2003317063">
      <w:bodyDiv w:val="1"/>
      <w:marLeft w:val="0"/>
      <w:marRight w:val="0"/>
      <w:marTop w:val="0"/>
      <w:marBottom w:val="0"/>
      <w:divBdr>
        <w:top w:val="none" w:sz="0" w:space="0" w:color="auto"/>
        <w:left w:val="none" w:sz="0" w:space="0" w:color="auto"/>
        <w:bottom w:val="none" w:sz="0" w:space="0" w:color="auto"/>
        <w:right w:val="none" w:sz="0" w:space="0" w:color="auto"/>
      </w:divBdr>
      <w:divsChild>
        <w:div w:id="73867505">
          <w:marLeft w:val="0"/>
          <w:marRight w:val="0"/>
          <w:marTop w:val="0"/>
          <w:marBottom w:val="0"/>
          <w:divBdr>
            <w:top w:val="none" w:sz="0" w:space="0" w:color="auto"/>
            <w:left w:val="none" w:sz="0" w:space="0" w:color="auto"/>
            <w:bottom w:val="none" w:sz="0" w:space="0" w:color="auto"/>
            <w:right w:val="none" w:sz="0" w:space="0" w:color="auto"/>
          </w:divBdr>
        </w:div>
        <w:div w:id="306477815">
          <w:marLeft w:val="0"/>
          <w:marRight w:val="0"/>
          <w:marTop w:val="0"/>
          <w:marBottom w:val="0"/>
          <w:divBdr>
            <w:top w:val="none" w:sz="0" w:space="0" w:color="auto"/>
            <w:left w:val="none" w:sz="0" w:space="0" w:color="auto"/>
            <w:bottom w:val="none" w:sz="0" w:space="0" w:color="auto"/>
            <w:right w:val="none" w:sz="0" w:space="0" w:color="auto"/>
          </w:divBdr>
        </w:div>
        <w:div w:id="843084532">
          <w:marLeft w:val="0"/>
          <w:marRight w:val="0"/>
          <w:marTop w:val="0"/>
          <w:marBottom w:val="0"/>
          <w:divBdr>
            <w:top w:val="none" w:sz="0" w:space="0" w:color="auto"/>
            <w:left w:val="none" w:sz="0" w:space="0" w:color="auto"/>
            <w:bottom w:val="none" w:sz="0" w:space="0" w:color="auto"/>
            <w:right w:val="none" w:sz="0" w:space="0" w:color="auto"/>
          </w:divBdr>
        </w:div>
        <w:div w:id="1280181114">
          <w:marLeft w:val="0"/>
          <w:marRight w:val="0"/>
          <w:marTop w:val="0"/>
          <w:marBottom w:val="0"/>
          <w:divBdr>
            <w:top w:val="none" w:sz="0" w:space="0" w:color="auto"/>
            <w:left w:val="none" w:sz="0" w:space="0" w:color="auto"/>
            <w:bottom w:val="none" w:sz="0" w:space="0" w:color="auto"/>
            <w:right w:val="none" w:sz="0" w:space="0" w:color="auto"/>
          </w:divBdr>
        </w:div>
        <w:div w:id="1494450154">
          <w:marLeft w:val="0"/>
          <w:marRight w:val="0"/>
          <w:marTop w:val="0"/>
          <w:marBottom w:val="0"/>
          <w:divBdr>
            <w:top w:val="none" w:sz="0" w:space="0" w:color="auto"/>
            <w:left w:val="none" w:sz="0" w:space="0" w:color="auto"/>
            <w:bottom w:val="none" w:sz="0" w:space="0" w:color="auto"/>
            <w:right w:val="none" w:sz="0" w:space="0" w:color="auto"/>
          </w:divBdr>
        </w:div>
        <w:div w:id="1593080695">
          <w:marLeft w:val="0"/>
          <w:marRight w:val="0"/>
          <w:marTop w:val="0"/>
          <w:marBottom w:val="0"/>
          <w:divBdr>
            <w:top w:val="none" w:sz="0" w:space="0" w:color="auto"/>
            <w:left w:val="none" w:sz="0" w:space="0" w:color="auto"/>
            <w:bottom w:val="none" w:sz="0" w:space="0" w:color="auto"/>
            <w:right w:val="none" w:sz="0" w:space="0" w:color="auto"/>
          </w:divBdr>
        </w:div>
        <w:div w:id="1757284923">
          <w:marLeft w:val="0"/>
          <w:marRight w:val="0"/>
          <w:marTop w:val="0"/>
          <w:marBottom w:val="0"/>
          <w:divBdr>
            <w:top w:val="none" w:sz="0" w:space="0" w:color="auto"/>
            <w:left w:val="none" w:sz="0" w:space="0" w:color="auto"/>
            <w:bottom w:val="none" w:sz="0" w:space="0" w:color="auto"/>
            <w:right w:val="none" w:sz="0" w:space="0" w:color="auto"/>
          </w:divBdr>
        </w:div>
      </w:divsChild>
    </w:div>
    <w:div w:id="2007593067">
      <w:bodyDiv w:val="1"/>
      <w:marLeft w:val="0"/>
      <w:marRight w:val="0"/>
      <w:marTop w:val="0"/>
      <w:marBottom w:val="0"/>
      <w:divBdr>
        <w:top w:val="none" w:sz="0" w:space="0" w:color="auto"/>
        <w:left w:val="none" w:sz="0" w:space="0" w:color="auto"/>
        <w:bottom w:val="none" w:sz="0" w:space="0" w:color="auto"/>
        <w:right w:val="none" w:sz="0" w:space="0" w:color="auto"/>
      </w:divBdr>
    </w:div>
    <w:div w:id="2012563186">
      <w:bodyDiv w:val="1"/>
      <w:marLeft w:val="0"/>
      <w:marRight w:val="0"/>
      <w:marTop w:val="0"/>
      <w:marBottom w:val="0"/>
      <w:divBdr>
        <w:top w:val="none" w:sz="0" w:space="0" w:color="auto"/>
        <w:left w:val="none" w:sz="0" w:space="0" w:color="auto"/>
        <w:bottom w:val="none" w:sz="0" w:space="0" w:color="auto"/>
        <w:right w:val="none" w:sz="0" w:space="0" w:color="auto"/>
      </w:divBdr>
    </w:div>
    <w:div w:id="2024280140">
      <w:bodyDiv w:val="1"/>
      <w:marLeft w:val="0"/>
      <w:marRight w:val="0"/>
      <w:marTop w:val="0"/>
      <w:marBottom w:val="0"/>
      <w:divBdr>
        <w:top w:val="none" w:sz="0" w:space="0" w:color="auto"/>
        <w:left w:val="none" w:sz="0" w:space="0" w:color="auto"/>
        <w:bottom w:val="none" w:sz="0" w:space="0" w:color="auto"/>
        <w:right w:val="none" w:sz="0" w:space="0" w:color="auto"/>
      </w:divBdr>
    </w:div>
    <w:div w:id="2026899460">
      <w:bodyDiv w:val="1"/>
      <w:marLeft w:val="0"/>
      <w:marRight w:val="0"/>
      <w:marTop w:val="0"/>
      <w:marBottom w:val="0"/>
      <w:divBdr>
        <w:top w:val="none" w:sz="0" w:space="0" w:color="auto"/>
        <w:left w:val="none" w:sz="0" w:space="0" w:color="auto"/>
        <w:bottom w:val="none" w:sz="0" w:space="0" w:color="auto"/>
        <w:right w:val="none" w:sz="0" w:space="0" w:color="auto"/>
      </w:divBdr>
      <w:divsChild>
        <w:div w:id="6445531">
          <w:marLeft w:val="0"/>
          <w:marRight w:val="0"/>
          <w:marTop w:val="0"/>
          <w:marBottom w:val="0"/>
          <w:divBdr>
            <w:top w:val="none" w:sz="0" w:space="0" w:color="auto"/>
            <w:left w:val="none" w:sz="0" w:space="0" w:color="auto"/>
            <w:bottom w:val="none" w:sz="0" w:space="0" w:color="auto"/>
            <w:right w:val="none" w:sz="0" w:space="0" w:color="auto"/>
          </w:divBdr>
        </w:div>
        <w:div w:id="27612457">
          <w:marLeft w:val="0"/>
          <w:marRight w:val="0"/>
          <w:marTop w:val="0"/>
          <w:marBottom w:val="0"/>
          <w:divBdr>
            <w:top w:val="none" w:sz="0" w:space="0" w:color="auto"/>
            <w:left w:val="none" w:sz="0" w:space="0" w:color="auto"/>
            <w:bottom w:val="none" w:sz="0" w:space="0" w:color="auto"/>
            <w:right w:val="none" w:sz="0" w:space="0" w:color="auto"/>
          </w:divBdr>
        </w:div>
        <w:div w:id="189807807">
          <w:marLeft w:val="0"/>
          <w:marRight w:val="0"/>
          <w:marTop w:val="0"/>
          <w:marBottom w:val="0"/>
          <w:divBdr>
            <w:top w:val="none" w:sz="0" w:space="0" w:color="auto"/>
            <w:left w:val="none" w:sz="0" w:space="0" w:color="auto"/>
            <w:bottom w:val="none" w:sz="0" w:space="0" w:color="auto"/>
            <w:right w:val="none" w:sz="0" w:space="0" w:color="auto"/>
          </w:divBdr>
        </w:div>
        <w:div w:id="229192591">
          <w:marLeft w:val="0"/>
          <w:marRight w:val="0"/>
          <w:marTop w:val="0"/>
          <w:marBottom w:val="0"/>
          <w:divBdr>
            <w:top w:val="none" w:sz="0" w:space="0" w:color="auto"/>
            <w:left w:val="none" w:sz="0" w:space="0" w:color="auto"/>
            <w:bottom w:val="none" w:sz="0" w:space="0" w:color="auto"/>
            <w:right w:val="none" w:sz="0" w:space="0" w:color="auto"/>
          </w:divBdr>
        </w:div>
        <w:div w:id="376856789">
          <w:marLeft w:val="0"/>
          <w:marRight w:val="0"/>
          <w:marTop w:val="0"/>
          <w:marBottom w:val="0"/>
          <w:divBdr>
            <w:top w:val="none" w:sz="0" w:space="0" w:color="auto"/>
            <w:left w:val="none" w:sz="0" w:space="0" w:color="auto"/>
            <w:bottom w:val="none" w:sz="0" w:space="0" w:color="auto"/>
            <w:right w:val="none" w:sz="0" w:space="0" w:color="auto"/>
          </w:divBdr>
        </w:div>
        <w:div w:id="482046000">
          <w:marLeft w:val="0"/>
          <w:marRight w:val="0"/>
          <w:marTop w:val="0"/>
          <w:marBottom w:val="0"/>
          <w:divBdr>
            <w:top w:val="none" w:sz="0" w:space="0" w:color="auto"/>
            <w:left w:val="none" w:sz="0" w:space="0" w:color="auto"/>
            <w:bottom w:val="none" w:sz="0" w:space="0" w:color="auto"/>
            <w:right w:val="none" w:sz="0" w:space="0" w:color="auto"/>
          </w:divBdr>
        </w:div>
        <w:div w:id="484593943">
          <w:marLeft w:val="0"/>
          <w:marRight w:val="0"/>
          <w:marTop w:val="0"/>
          <w:marBottom w:val="0"/>
          <w:divBdr>
            <w:top w:val="none" w:sz="0" w:space="0" w:color="auto"/>
            <w:left w:val="none" w:sz="0" w:space="0" w:color="auto"/>
            <w:bottom w:val="none" w:sz="0" w:space="0" w:color="auto"/>
            <w:right w:val="none" w:sz="0" w:space="0" w:color="auto"/>
          </w:divBdr>
        </w:div>
        <w:div w:id="610091450">
          <w:marLeft w:val="0"/>
          <w:marRight w:val="0"/>
          <w:marTop w:val="0"/>
          <w:marBottom w:val="0"/>
          <w:divBdr>
            <w:top w:val="none" w:sz="0" w:space="0" w:color="auto"/>
            <w:left w:val="none" w:sz="0" w:space="0" w:color="auto"/>
            <w:bottom w:val="none" w:sz="0" w:space="0" w:color="auto"/>
            <w:right w:val="none" w:sz="0" w:space="0" w:color="auto"/>
          </w:divBdr>
        </w:div>
        <w:div w:id="704520287">
          <w:marLeft w:val="0"/>
          <w:marRight w:val="0"/>
          <w:marTop w:val="0"/>
          <w:marBottom w:val="0"/>
          <w:divBdr>
            <w:top w:val="none" w:sz="0" w:space="0" w:color="auto"/>
            <w:left w:val="none" w:sz="0" w:space="0" w:color="auto"/>
            <w:bottom w:val="none" w:sz="0" w:space="0" w:color="auto"/>
            <w:right w:val="none" w:sz="0" w:space="0" w:color="auto"/>
          </w:divBdr>
        </w:div>
        <w:div w:id="727533052">
          <w:marLeft w:val="0"/>
          <w:marRight w:val="0"/>
          <w:marTop w:val="0"/>
          <w:marBottom w:val="0"/>
          <w:divBdr>
            <w:top w:val="none" w:sz="0" w:space="0" w:color="auto"/>
            <w:left w:val="none" w:sz="0" w:space="0" w:color="auto"/>
            <w:bottom w:val="none" w:sz="0" w:space="0" w:color="auto"/>
            <w:right w:val="none" w:sz="0" w:space="0" w:color="auto"/>
          </w:divBdr>
        </w:div>
        <w:div w:id="779446268">
          <w:marLeft w:val="0"/>
          <w:marRight w:val="0"/>
          <w:marTop w:val="0"/>
          <w:marBottom w:val="0"/>
          <w:divBdr>
            <w:top w:val="none" w:sz="0" w:space="0" w:color="auto"/>
            <w:left w:val="none" w:sz="0" w:space="0" w:color="auto"/>
            <w:bottom w:val="none" w:sz="0" w:space="0" w:color="auto"/>
            <w:right w:val="none" w:sz="0" w:space="0" w:color="auto"/>
          </w:divBdr>
        </w:div>
        <w:div w:id="812017102">
          <w:marLeft w:val="0"/>
          <w:marRight w:val="0"/>
          <w:marTop w:val="0"/>
          <w:marBottom w:val="0"/>
          <w:divBdr>
            <w:top w:val="none" w:sz="0" w:space="0" w:color="auto"/>
            <w:left w:val="none" w:sz="0" w:space="0" w:color="auto"/>
            <w:bottom w:val="none" w:sz="0" w:space="0" w:color="auto"/>
            <w:right w:val="none" w:sz="0" w:space="0" w:color="auto"/>
          </w:divBdr>
        </w:div>
        <w:div w:id="881748950">
          <w:marLeft w:val="0"/>
          <w:marRight w:val="0"/>
          <w:marTop w:val="0"/>
          <w:marBottom w:val="0"/>
          <w:divBdr>
            <w:top w:val="none" w:sz="0" w:space="0" w:color="auto"/>
            <w:left w:val="none" w:sz="0" w:space="0" w:color="auto"/>
            <w:bottom w:val="none" w:sz="0" w:space="0" w:color="auto"/>
            <w:right w:val="none" w:sz="0" w:space="0" w:color="auto"/>
          </w:divBdr>
        </w:div>
        <w:div w:id="899637505">
          <w:marLeft w:val="0"/>
          <w:marRight w:val="0"/>
          <w:marTop w:val="0"/>
          <w:marBottom w:val="0"/>
          <w:divBdr>
            <w:top w:val="none" w:sz="0" w:space="0" w:color="auto"/>
            <w:left w:val="none" w:sz="0" w:space="0" w:color="auto"/>
            <w:bottom w:val="none" w:sz="0" w:space="0" w:color="auto"/>
            <w:right w:val="none" w:sz="0" w:space="0" w:color="auto"/>
          </w:divBdr>
        </w:div>
        <w:div w:id="1022584982">
          <w:marLeft w:val="0"/>
          <w:marRight w:val="0"/>
          <w:marTop w:val="0"/>
          <w:marBottom w:val="0"/>
          <w:divBdr>
            <w:top w:val="none" w:sz="0" w:space="0" w:color="auto"/>
            <w:left w:val="none" w:sz="0" w:space="0" w:color="auto"/>
            <w:bottom w:val="none" w:sz="0" w:space="0" w:color="auto"/>
            <w:right w:val="none" w:sz="0" w:space="0" w:color="auto"/>
          </w:divBdr>
        </w:div>
        <w:div w:id="1088308000">
          <w:marLeft w:val="0"/>
          <w:marRight w:val="0"/>
          <w:marTop w:val="0"/>
          <w:marBottom w:val="0"/>
          <w:divBdr>
            <w:top w:val="none" w:sz="0" w:space="0" w:color="auto"/>
            <w:left w:val="none" w:sz="0" w:space="0" w:color="auto"/>
            <w:bottom w:val="none" w:sz="0" w:space="0" w:color="auto"/>
            <w:right w:val="none" w:sz="0" w:space="0" w:color="auto"/>
          </w:divBdr>
        </w:div>
        <w:div w:id="1299604369">
          <w:marLeft w:val="0"/>
          <w:marRight w:val="0"/>
          <w:marTop w:val="0"/>
          <w:marBottom w:val="0"/>
          <w:divBdr>
            <w:top w:val="none" w:sz="0" w:space="0" w:color="auto"/>
            <w:left w:val="none" w:sz="0" w:space="0" w:color="auto"/>
            <w:bottom w:val="none" w:sz="0" w:space="0" w:color="auto"/>
            <w:right w:val="none" w:sz="0" w:space="0" w:color="auto"/>
          </w:divBdr>
        </w:div>
        <w:div w:id="1301307450">
          <w:marLeft w:val="0"/>
          <w:marRight w:val="0"/>
          <w:marTop w:val="0"/>
          <w:marBottom w:val="0"/>
          <w:divBdr>
            <w:top w:val="none" w:sz="0" w:space="0" w:color="auto"/>
            <w:left w:val="none" w:sz="0" w:space="0" w:color="auto"/>
            <w:bottom w:val="none" w:sz="0" w:space="0" w:color="auto"/>
            <w:right w:val="none" w:sz="0" w:space="0" w:color="auto"/>
          </w:divBdr>
        </w:div>
        <w:div w:id="1484589151">
          <w:marLeft w:val="0"/>
          <w:marRight w:val="0"/>
          <w:marTop w:val="0"/>
          <w:marBottom w:val="0"/>
          <w:divBdr>
            <w:top w:val="none" w:sz="0" w:space="0" w:color="auto"/>
            <w:left w:val="none" w:sz="0" w:space="0" w:color="auto"/>
            <w:bottom w:val="none" w:sz="0" w:space="0" w:color="auto"/>
            <w:right w:val="none" w:sz="0" w:space="0" w:color="auto"/>
          </w:divBdr>
        </w:div>
        <w:div w:id="1650014036">
          <w:marLeft w:val="0"/>
          <w:marRight w:val="0"/>
          <w:marTop w:val="0"/>
          <w:marBottom w:val="0"/>
          <w:divBdr>
            <w:top w:val="none" w:sz="0" w:space="0" w:color="auto"/>
            <w:left w:val="none" w:sz="0" w:space="0" w:color="auto"/>
            <w:bottom w:val="none" w:sz="0" w:space="0" w:color="auto"/>
            <w:right w:val="none" w:sz="0" w:space="0" w:color="auto"/>
          </w:divBdr>
        </w:div>
        <w:div w:id="1673483855">
          <w:marLeft w:val="0"/>
          <w:marRight w:val="0"/>
          <w:marTop w:val="0"/>
          <w:marBottom w:val="0"/>
          <w:divBdr>
            <w:top w:val="none" w:sz="0" w:space="0" w:color="auto"/>
            <w:left w:val="none" w:sz="0" w:space="0" w:color="auto"/>
            <w:bottom w:val="none" w:sz="0" w:space="0" w:color="auto"/>
            <w:right w:val="none" w:sz="0" w:space="0" w:color="auto"/>
          </w:divBdr>
        </w:div>
        <w:div w:id="1697538279">
          <w:marLeft w:val="0"/>
          <w:marRight w:val="0"/>
          <w:marTop w:val="0"/>
          <w:marBottom w:val="0"/>
          <w:divBdr>
            <w:top w:val="none" w:sz="0" w:space="0" w:color="auto"/>
            <w:left w:val="none" w:sz="0" w:space="0" w:color="auto"/>
            <w:bottom w:val="none" w:sz="0" w:space="0" w:color="auto"/>
            <w:right w:val="none" w:sz="0" w:space="0" w:color="auto"/>
          </w:divBdr>
        </w:div>
        <w:div w:id="1728994295">
          <w:marLeft w:val="0"/>
          <w:marRight w:val="0"/>
          <w:marTop w:val="0"/>
          <w:marBottom w:val="0"/>
          <w:divBdr>
            <w:top w:val="none" w:sz="0" w:space="0" w:color="auto"/>
            <w:left w:val="none" w:sz="0" w:space="0" w:color="auto"/>
            <w:bottom w:val="none" w:sz="0" w:space="0" w:color="auto"/>
            <w:right w:val="none" w:sz="0" w:space="0" w:color="auto"/>
          </w:divBdr>
        </w:div>
        <w:div w:id="1760250621">
          <w:marLeft w:val="0"/>
          <w:marRight w:val="0"/>
          <w:marTop w:val="0"/>
          <w:marBottom w:val="0"/>
          <w:divBdr>
            <w:top w:val="none" w:sz="0" w:space="0" w:color="auto"/>
            <w:left w:val="none" w:sz="0" w:space="0" w:color="auto"/>
            <w:bottom w:val="none" w:sz="0" w:space="0" w:color="auto"/>
            <w:right w:val="none" w:sz="0" w:space="0" w:color="auto"/>
          </w:divBdr>
        </w:div>
        <w:div w:id="1908227573">
          <w:marLeft w:val="0"/>
          <w:marRight w:val="0"/>
          <w:marTop w:val="0"/>
          <w:marBottom w:val="0"/>
          <w:divBdr>
            <w:top w:val="none" w:sz="0" w:space="0" w:color="auto"/>
            <w:left w:val="none" w:sz="0" w:space="0" w:color="auto"/>
            <w:bottom w:val="none" w:sz="0" w:space="0" w:color="auto"/>
            <w:right w:val="none" w:sz="0" w:space="0" w:color="auto"/>
          </w:divBdr>
        </w:div>
        <w:div w:id="1943294392">
          <w:marLeft w:val="0"/>
          <w:marRight w:val="0"/>
          <w:marTop w:val="0"/>
          <w:marBottom w:val="0"/>
          <w:divBdr>
            <w:top w:val="none" w:sz="0" w:space="0" w:color="auto"/>
            <w:left w:val="none" w:sz="0" w:space="0" w:color="auto"/>
            <w:bottom w:val="none" w:sz="0" w:space="0" w:color="auto"/>
            <w:right w:val="none" w:sz="0" w:space="0" w:color="auto"/>
          </w:divBdr>
        </w:div>
        <w:div w:id="1970743345">
          <w:marLeft w:val="0"/>
          <w:marRight w:val="0"/>
          <w:marTop w:val="0"/>
          <w:marBottom w:val="0"/>
          <w:divBdr>
            <w:top w:val="none" w:sz="0" w:space="0" w:color="auto"/>
            <w:left w:val="none" w:sz="0" w:space="0" w:color="auto"/>
            <w:bottom w:val="none" w:sz="0" w:space="0" w:color="auto"/>
            <w:right w:val="none" w:sz="0" w:space="0" w:color="auto"/>
          </w:divBdr>
        </w:div>
        <w:div w:id="2017995500">
          <w:marLeft w:val="0"/>
          <w:marRight w:val="0"/>
          <w:marTop w:val="0"/>
          <w:marBottom w:val="0"/>
          <w:divBdr>
            <w:top w:val="none" w:sz="0" w:space="0" w:color="auto"/>
            <w:left w:val="none" w:sz="0" w:space="0" w:color="auto"/>
            <w:bottom w:val="none" w:sz="0" w:space="0" w:color="auto"/>
            <w:right w:val="none" w:sz="0" w:space="0" w:color="auto"/>
          </w:divBdr>
        </w:div>
        <w:div w:id="2087650582">
          <w:marLeft w:val="0"/>
          <w:marRight w:val="0"/>
          <w:marTop w:val="0"/>
          <w:marBottom w:val="0"/>
          <w:divBdr>
            <w:top w:val="none" w:sz="0" w:space="0" w:color="auto"/>
            <w:left w:val="none" w:sz="0" w:space="0" w:color="auto"/>
            <w:bottom w:val="none" w:sz="0" w:space="0" w:color="auto"/>
            <w:right w:val="none" w:sz="0" w:space="0" w:color="auto"/>
          </w:divBdr>
        </w:div>
      </w:divsChild>
    </w:div>
    <w:div w:id="2039112622">
      <w:bodyDiv w:val="1"/>
      <w:marLeft w:val="0"/>
      <w:marRight w:val="0"/>
      <w:marTop w:val="0"/>
      <w:marBottom w:val="0"/>
      <w:divBdr>
        <w:top w:val="none" w:sz="0" w:space="0" w:color="auto"/>
        <w:left w:val="none" w:sz="0" w:space="0" w:color="auto"/>
        <w:bottom w:val="none" w:sz="0" w:space="0" w:color="auto"/>
        <w:right w:val="none" w:sz="0" w:space="0" w:color="auto"/>
      </w:divBdr>
      <w:divsChild>
        <w:div w:id="202064320">
          <w:marLeft w:val="0"/>
          <w:marRight w:val="0"/>
          <w:marTop w:val="0"/>
          <w:marBottom w:val="0"/>
          <w:divBdr>
            <w:top w:val="none" w:sz="0" w:space="0" w:color="auto"/>
            <w:left w:val="none" w:sz="0" w:space="0" w:color="auto"/>
            <w:bottom w:val="none" w:sz="0" w:space="0" w:color="auto"/>
            <w:right w:val="none" w:sz="0" w:space="0" w:color="auto"/>
          </w:divBdr>
        </w:div>
      </w:divsChild>
    </w:div>
    <w:div w:id="2041932725">
      <w:bodyDiv w:val="1"/>
      <w:marLeft w:val="0"/>
      <w:marRight w:val="0"/>
      <w:marTop w:val="0"/>
      <w:marBottom w:val="0"/>
      <w:divBdr>
        <w:top w:val="none" w:sz="0" w:space="0" w:color="auto"/>
        <w:left w:val="none" w:sz="0" w:space="0" w:color="auto"/>
        <w:bottom w:val="none" w:sz="0" w:space="0" w:color="auto"/>
        <w:right w:val="none" w:sz="0" w:space="0" w:color="auto"/>
      </w:divBdr>
      <w:divsChild>
        <w:div w:id="1284389388">
          <w:marLeft w:val="0"/>
          <w:marRight w:val="0"/>
          <w:marTop w:val="0"/>
          <w:marBottom w:val="0"/>
          <w:divBdr>
            <w:top w:val="none" w:sz="0" w:space="0" w:color="auto"/>
            <w:left w:val="none" w:sz="0" w:space="0" w:color="auto"/>
            <w:bottom w:val="none" w:sz="0" w:space="0" w:color="auto"/>
            <w:right w:val="none" w:sz="0" w:space="0" w:color="auto"/>
          </w:divBdr>
        </w:div>
        <w:div w:id="1566331678">
          <w:marLeft w:val="0"/>
          <w:marRight w:val="0"/>
          <w:marTop w:val="0"/>
          <w:marBottom w:val="0"/>
          <w:divBdr>
            <w:top w:val="none" w:sz="0" w:space="0" w:color="auto"/>
            <w:left w:val="none" w:sz="0" w:space="0" w:color="auto"/>
            <w:bottom w:val="none" w:sz="0" w:space="0" w:color="auto"/>
            <w:right w:val="none" w:sz="0" w:space="0" w:color="auto"/>
          </w:divBdr>
        </w:div>
      </w:divsChild>
    </w:div>
    <w:div w:id="2050841630">
      <w:bodyDiv w:val="1"/>
      <w:marLeft w:val="0"/>
      <w:marRight w:val="0"/>
      <w:marTop w:val="0"/>
      <w:marBottom w:val="0"/>
      <w:divBdr>
        <w:top w:val="none" w:sz="0" w:space="0" w:color="auto"/>
        <w:left w:val="none" w:sz="0" w:space="0" w:color="auto"/>
        <w:bottom w:val="none" w:sz="0" w:space="0" w:color="auto"/>
        <w:right w:val="none" w:sz="0" w:space="0" w:color="auto"/>
      </w:divBdr>
      <w:divsChild>
        <w:div w:id="6831329">
          <w:marLeft w:val="0"/>
          <w:marRight w:val="0"/>
          <w:marTop w:val="0"/>
          <w:marBottom w:val="0"/>
          <w:divBdr>
            <w:top w:val="none" w:sz="0" w:space="0" w:color="auto"/>
            <w:left w:val="none" w:sz="0" w:space="0" w:color="auto"/>
            <w:bottom w:val="none" w:sz="0" w:space="0" w:color="auto"/>
            <w:right w:val="none" w:sz="0" w:space="0" w:color="auto"/>
          </w:divBdr>
        </w:div>
        <w:div w:id="21590288">
          <w:marLeft w:val="0"/>
          <w:marRight w:val="0"/>
          <w:marTop w:val="0"/>
          <w:marBottom w:val="0"/>
          <w:divBdr>
            <w:top w:val="none" w:sz="0" w:space="0" w:color="auto"/>
            <w:left w:val="none" w:sz="0" w:space="0" w:color="auto"/>
            <w:bottom w:val="none" w:sz="0" w:space="0" w:color="auto"/>
            <w:right w:val="none" w:sz="0" w:space="0" w:color="auto"/>
          </w:divBdr>
        </w:div>
        <w:div w:id="51540953">
          <w:marLeft w:val="0"/>
          <w:marRight w:val="0"/>
          <w:marTop w:val="0"/>
          <w:marBottom w:val="0"/>
          <w:divBdr>
            <w:top w:val="none" w:sz="0" w:space="0" w:color="auto"/>
            <w:left w:val="none" w:sz="0" w:space="0" w:color="auto"/>
            <w:bottom w:val="none" w:sz="0" w:space="0" w:color="auto"/>
            <w:right w:val="none" w:sz="0" w:space="0" w:color="auto"/>
          </w:divBdr>
        </w:div>
        <w:div w:id="68384919">
          <w:marLeft w:val="0"/>
          <w:marRight w:val="0"/>
          <w:marTop w:val="0"/>
          <w:marBottom w:val="0"/>
          <w:divBdr>
            <w:top w:val="none" w:sz="0" w:space="0" w:color="auto"/>
            <w:left w:val="none" w:sz="0" w:space="0" w:color="auto"/>
            <w:bottom w:val="none" w:sz="0" w:space="0" w:color="auto"/>
            <w:right w:val="none" w:sz="0" w:space="0" w:color="auto"/>
          </w:divBdr>
        </w:div>
        <w:div w:id="86775729">
          <w:marLeft w:val="0"/>
          <w:marRight w:val="0"/>
          <w:marTop w:val="0"/>
          <w:marBottom w:val="0"/>
          <w:divBdr>
            <w:top w:val="none" w:sz="0" w:space="0" w:color="auto"/>
            <w:left w:val="none" w:sz="0" w:space="0" w:color="auto"/>
            <w:bottom w:val="none" w:sz="0" w:space="0" w:color="auto"/>
            <w:right w:val="none" w:sz="0" w:space="0" w:color="auto"/>
          </w:divBdr>
        </w:div>
        <w:div w:id="162622115">
          <w:marLeft w:val="0"/>
          <w:marRight w:val="0"/>
          <w:marTop w:val="0"/>
          <w:marBottom w:val="0"/>
          <w:divBdr>
            <w:top w:val="none" w:sz="0" w:space="0" w:color="auto"/>
            <w:left w:val="none" w:sz="0" w:space="0" w:color="auto"/>
            <w:bottom w:val="none" w:sz="0" w:space="0" w:color="auto"/>
            <w:right w:val="none" w:sz="0" w:space="0" w:color="auto"/>
          </w:divBdr>
        </w:div>
        <w:div w:id="174461566">
          <w:marLeft w:val="0"/>
          <w:marRight w:val="0"/>
          <w:marTop w:val="0"/>
          <w:marBottom w:val="0"/>
          <w:divBdr>
            <w:top w:val="none" w:sz="0" w:space="0" w:color="auto"/>
            <w:left w:val="none" w:sz="0" w:space="0" w:color="auto"/>
            <w:bottom w:val="none" w:sz="0" w:space="0" w:color="auto"/>
            <w:right w:val="none" w:sz="0" w:space="0" w:color="auto"/>
          </w:divBdr>
        </w:div>
        <w:div w:id="175310093">
          <w:marLeft w:val="0"/>
          <w:marRight w:val="0"/>
          <w:marTop w:val="0"/>
          <w:marBottom w:val="0"/>
          <w:divBdr>
            <w:top w:val="none" w:sz="0" w:space="0" w:color="auto"/>
            <w:left w:val="none" w:sz="0" w:space="0" w:color="auto"/>
            <w:bottom w:val="none" w:sz="0" w:space="0" w:color="auto"/>
            <w:right w:val="none" w:sz="0" w:space="0" w:color="auto"/>
          </w:divBdr>
        </w:div>
        <w:div w:id="180818912">
          <w:marLeft w:val="0"/>
          <w:marRight w:val="0"/>
          <w:marTop w:val="0"/>
          <w:marBottom w:val="0"/>
          <w:divBdr>
            <w:top w:val="none" w:sz="0" w:space="0" w:color="auto"/>
            <w:left w:val="none" w:sz="0" w:space="0" w:color="auto"/>
            <w:bottom w:val="none" w:sz="0" w:space="0" w:color="auto"/>
            <w:right w:val="none" w:sz="0" w:space="0" w:color="auto"/>
          </w:divBdr>
        </w:div>
        <w:div w:id="205531228">
          <w:marLeft w:val="0"/>
          <w:marRight w:val="0"/>
          <w:marTop w:val="0"/>
          <w:marBottom w:val="0"/>
          <w:divBdr>
            <w:top w:val="none" w:sz="0" w:space="0" w:color="auto"/>
            <w:left w:val="none" w:sz="0" w:space="0" w:color="auto"/>
            <w:bottom w:val="none" w:sz="0" w:space="0" w:color="auto"/>
            <w:right w:val="none" w:sz="0" w:space="0" w:color="auto"/>
          </w:divBdr>
        </w:div>
        <w:div w:id="209459762">
          <w:marLeft w:val="0"/>
          <w:marRight w:val="0"/>
          <w:marTop w:val="0"/>
          <w:marBottom w:val="0"/>
          <w:divBdr>
            <w:top w:val="none" w:sz="0" w:space="0" w:color="auto"/>
            <w:left w:val="none" w:sz="0" w:space="0" w:color="auto"/>
            <w:bottom w:val="none" w:sz="0" w:space="0" w:color="auto"/>
            <w:right w:val="none" w:sz="0" w:space="0" w:color="auto"/>
          </w:divBdr>
        </w:div>
        <w:div w:id="237977987">
          <w:marLeft w:val="0"/>
          <w:marRight w:val="0"/>
          <w:marTop w:val="0"/>
          <w:marBottom w:val="0"/>
          <w:divBdr>
            <w:top w:val="none" w:sz="0" w:space="0" w:color="auto"/>
            <w:left w:val="none" w:sz="0" w:space="0" w:color="auto"/>
            <w:bottom w:val="none" w:sz="0" w:space="0" w:color="auto"/>
            <w:right w:val="none" w:sz="0" w:space="0" w:color="auto"/>
          </w:divBdr>
        </w:div>
        <w:div w:id="246155063">
          <w:marLeft w:val="0"/>
          <w:marRight w:val="0"/>
          <w:marTop w:val="0"/>
          <w:marBottom w:val="0"/>
          <w:divBdr>
            <w:top w:val="none" w:sz="0" w:space="0" w:color="auto"/>
            <w:left w:val="none" w:sz="0" w:space="0" w:color="auto"/>
            <w:bottom w:val="none" w:sz="0" w:space="0" w:color="auto"/>
            <w:right w:val="none" w:sz="0" w:space="0" w:color="auto"/>
          </w:divBdr>
        </w:div>
        <w:div w:id="254170688">
          <w:marLeft w:val="0"/>
          <w:marRight w:val="0"/>
          <w:marTop w:val="0"/>
          <w:marBottom w:val="0"/>
          <w:divBdr>
            <w:top w:val="none" w:sz="0" w:space="0" w:color="auto"/>
            <w:left w:val="none" w:sz="0" w:space="0" w:color="auto"/>
            <w:bottom w:val="none" w:sz="0" w:space="0" w:color="auto"/>
            <w:right w:val="none" w:sz="0" w:space="0" w:color="auto"/>
          </w:divBdr>
        </w:div>
        <w:div w:id="321592898">
          <w:marLeft w:val="0"/>
          <w:marRight w:val="0"/>
          <w:marTop w:val="0"/>
          <w:marBottom w:val="0"/>
          <w:divBdr>
            <w:top w:val="none" w:sz="0" w:space="0" w:color="auto"/>
            <w:left w:val="none" w:sz="0" w:space="0" w:color="auto"/>
            <w:bottom w:val="none" w:sz="0" w:space="0" w:color="auto"/>
            <w:right w:val="none" w:sz="0" w:space="0" w:color="auto"/>
          </w:divBdr>
        </w:div>
        <w:div w:id="359402139">
          <w:marLeft w:val="0"/>
          <w:marRight w:val="0"/>
          <w:marTop w:val="0"/>
          <w:marBottom w:val="0"/>
          <w:divBdr>
            <w:top w:val="none" w:sz="0" w:space="0" w:color="auto"/>
            <w:left w:val="none" w:sz="0" w:space="0" w:color="auto"/>
            <w:bottom w:val="none" w:sz="0" w:space="0" w:color="auto"/>
            <w:right w:val="none" w:sz="0" w:space="0" w:color="auto"/>
          </w:divBdr>
        </w:div>
        <w:div w:id="468910671">
          <w:marLeft w:val="0"/>
          <w:marRight w:val="0"/>
          <w:marTop w:val="0"/>
          <w:marBottom w:val="0"/>
          <w:divBdr>
            <w:top w:val="none" w:sz="0" w:space="0" w:color="auto"/>
            <w:left w:val="none" w:sz="0" w:space="0" w:color="auto"/>
            <w:bottom w:val="none" w:sz="0" w:space="0" w:color="auto"/>
            <w:right w:val="none" w:sz="0" w:space="0" w:color="auto"/>
          </w:divBdr>
        </w:div>
        <w:div w:id="469791058">
          <w:marLeft w:val="0"/>
          <w:marRight w:val="0"/>
          <w:marTop w:val="0"/>
          <w:marBottom w:val="0"/>
          <w:divBdr>
            <w:top w:val="none" w:sz="0" w:space="0" w:color="auto"/>
            <w:left w:val="none" w:sz="0" w:space="0" w:color="auto"/>
            <w:bottom w:val="none" w:sz="0" w:space="0" w:color="auto"/>
            <w:right w:val="none" w:sz="0" w:space="0" w:color="auto"/>
          </w:divBdr>
        </w:div>
        <w:div w:id="543446740">
          <w:marLeft w:val="0"/>
          <w:marRight w:val="0"/>
          <w:marTop w:val="0"/>
          <w:marBottom w:val="0"/>
          <w:divBdr>
            <w:top w:val="none" w:sz="0" w:space="0" w:color="auto"/>
            <w:left w:val="none" w:sz="0" w:space="0" w:color="auto"/>
            <w:bottom w:val="none" w:sz="0" w:space="0" w:color="auto"/>
            <w:right w:val="none" w:sz="0" w:space="0" w:color="auto"/>
          </w:divBdr>
        </w:div>
        <w:div w:id="544098362">
          <w:marLeft w:val="0"/>
          <w:marRight w:val="0"/>
          <w:marTop w:val="0"/>
          <w:marBottom w:val="0"/>
          <w:divBdr>
            <w:top w:val="none" w:sz="0" w:space="0" w:color="auto"/>
            <w:left w:val="none" w:sz="0" w:space="0" w:color="auto"/>
            <w:bottom w:val="none" w:sz="0" w:space="0" w:color="auto"/>
            <w:right w:val="none" w:sz="0" w:space="0" w:color="auto"/>
          </w:divBdr>
        </w:div>
        <w:div w:id="660620287">
          <w:marLeft w:val="0"/>
          <w:marRight w:val="0"/>
          <w:marTop w:val="0"/>
          <w:marBottom w:val="0"/>
          <w:divBdr>
            <w:top w:val="none" w:sz="0" w:space="0" w:color="auto"/>
            <w:left w:val="none" w:sz="0" w:space="0" w:color="auto"/>
            <w:bottom w:val="none" w:sz="0" w:space="0" w:color="auto"/>
            <w:right w:val="none" w:sz="0" w:space="0" w:color="auto"/>
          </w:divBdr>
        </w:div>
        <w:div w:id="840435355">
          <w:marLeft w:val="0"/>
          <w:marRight w:val="0"/>
          <w:marTop w:val="0"/>
          <w:marBottom w:val="0"/>
          <w:divBdr>
            <w:top w:val="none" w:sz="0" w:space="0" w:color="auto"/>
            <w:left w:val="none" w:sz="0" w:space="0" w:color="auto"/>
            <w:bottom w:val="none" w:sz="0" w:space="0" w:color="auto"/>
            <w:right w:val="none" w:sz="0" w:space="0" w:color="auto"/>
          </w:divBdr>
        </w:div>
        <w:div w:id="873734359">
          <w:marLeft w:val="0"/>
          <w:marRight w:val="0"/>
          <w:marTop w:val="0"/>
          <w:marBottom w:val="0"/>
          <w:divBdr>
            <w:top w:val="none" w:sz="0" w:space="0" w:color="auto"/>
            <w:left w:val="none" w:sz="0" w:space="0" w:color="auto"/>
            <w:bottom w:val="none" w:sz="0" w:space="0" w:color="auto"/>
            <w:right w:val="none" w:sz="0" w:space="0" w:color="auto"/>
          </w:divBdr>
        </w:div>
        <w:div w:id="887254370">
          <w:marLeft w:val="0"/>
          <w:marRight w:val="0"/>
          <w:marTop w:val="0"/>
          <w:marBottom w:val="0"/>
          <w:divBdr>
            <w:top w:val="none" w:sz="0" w:space="0" w:color="auto"/>
            <w:left w:val="none" w:sz="0" w:space="0" w:color="auto"/>
            <w:bottom w:val="none" w:sz="0" w:space="0" w:color="auto"/>
            <w:right w:val="none" w:sz="0" w:space="0" w:color="auto"/>
          </w:divBdr>
        </w:div>
        <w:div w:id="987052778">
          <w:marLeft w:val="0"/>
          <w:marRight w:val="0"/>
          <w:marTop w:val="0"/>
          <w:marBottom w:val="0"/>
          <w:divBdr>
            <w:top w:val="none" w:sz="0" w:space="0" w:color="auto"/>
            <w:left w:val="none" w:sz="0" w:space="0" w:color="auto"/>
            <w:bottom w:val="none" w:sz="0" w:space="0" w:color="auto"/>
            <w:right w:val="none" w:sz="0" w:space="0" w:color="auto"/>
          </w:divBdr>
        </w:div>
        <w:div w:id="1074232689">
          <w:marLeft w:val="0"/>
          <w:marRight w:val="0"/>
          <w:marTop w:val="0"/>
          <w:marBottom w:val="0"/>
          <w:divBdr>
            <w:top w:val="none" w:sz="0" w:space="0" w:color="auto"/>
            <w:left w:val="none" w:sz="0" w:space="0" w:color="auto"/>
            <w:bottom w:val="none" w:sz="0" w:space="0" w:color="auto"/>
            <w:right w:val="none" w:sz="0" w:space="0" w:color="auto"/>
          </w:divBdr>
        </w:div>
        <w:div w:id="1157264728">
          <w:marLeft w:val="0"/>
          <w:marRight w:val="0"/>
          <w:marTop w:val="0"/>
          <w:marBottom w:val="0"/>
          <w:divBdr>
            <w:top w:val="none" w:sz="0" w:space="0" w:color="auto"/>
            <w:left w:val="none" w:sz="0" w:space="0" w:color="auto"/>
            <w:bottom w:val="none" w:sz="0" w:space="0" w:color="auto"/>
            <w:right w:val="none" w:sz="0" w:space="0" w:color="auto"/>
          </w:divBdr>
        </w:div>
        <w:div w:id="1306471848">
          <w:marLeft w:val="0"/>
          <w:marRight w:val="0"/>
          <w:marTop w:val="0"/>
          <w:marBottom w:val="0"/>
          <w:divBdr>
            <w:top w:val="none" w:sz="0" w:space="0" w:color="auto"/>
            <w:left w:val="none" w:sz="0" w:space="0" w:color="auto"/>
            <w:bottom w:val="none" w:sz="0" w:space="0" w:color="auto"/>
            <w:right w:val="none" w:sz="0" w:space="0" w:color="auto"/>
          </w:divBdr>
        </w:div>
        <w:div w:id="1508903873">
          <w:marLeft w:val="0"/>
          <w:marRight w:val="0"/>
          <w:marTop w:val="0"/>
          <w:marBottom w:val="0"/>
          <w:divBdr>
            <w:top w:val="none" w:sz="0" w:space="0" w:color="auto"/>
            <w:left w:val="none" w:sz="0" w:space="0" w:color="auto"/>
            <w:bottom w:val="none" w:sz="0" w:space="0" w:color="auto"/>
            <w:right w:val="none" w:sz="0" w:space="0" w:color="auto"/>
          </w:divBdr>
        </w:div>
        <w:div w:id="1555965201">
          <w:marLeft w:val="0"/>
          <w:marRight w:val="0"/>
          <w:marTop w:val="0"/>
          <w:marBottom w:val="0"/>
          <w:divBdr>
            <w:top w:val="none" w:sz="0" w:space="0" w:color="auto"/>
            <w:left w:val="none" w:sz="0" w:space="0" w:color="auto"/>
            <w:bottom w:val="none" w:sz="0" w:space="0" w:color="auto"/>
            <w:right w:val="none" w:sz="0" w:space="0" w:color="auto"/>
          </w:divBdr>
        </w:div>
        <w:div w:id="1567060374">
          <w:marLeft w:val="0"/>
          <w:marRight w:val="0"/>
          <w:marTop w:val="0"/>
          <w:marBottom w:val="0"/>
          <w:divBdr>
            <w:top w:val="none" w:sz="0" w:space="0" w:color="auto"/>
            <w:left w:val="none" w:sz="0" w:space="0" w:color="auto"/>
            <w:bottom w:val="none" w:sz="0" w:space="0" w:color="auto"/>
            <w:right w:val="none" w:sz="0" w:space="0" w:color="auto"/>
          </w:divBdr>
        </w:div>
        <w:div w:id="1640262107">
          <w:marLeft w:val="0"/>
          <w:marRight w:val="0"/>
          <w:marTop w:val="0"/>
          <w:marBottom w:val="0"/>
          <w:divBdr>
            <w:top w:val="none" w:sz="0" w:space="0" w:color="auto"/>
            <w:left w:val="none" w:sz="0" w:space="0" w:color="auto"/>
            <w:bottom w:val="none" w:sz="0" w:space="0" w:color="auto"/>
            <w:right w:val="none" w:sz="0" w:space="0" w:color="auto"/>
          </w:divBdr>
        </w:div>
        <w:div w:id="1730424267">
          <w:marLeft w:val="0"/>
          <w:marRight w:val="0"/>
          <w:marTop w:val="0"/>
          <w:marBottom w:val="0"/>
          <w:divBdr>
            <w:top w:val="none" w:sz="0" w:space="0" w:color="auto"/>
            <w:left w:val="none" w:sz="0" w:space="0" w:color="auto"/>
            <w:bottom w:val="none" w:sz="0" w:space="0" w:color="auto"/>
            <w:right w:val="none" w:sz="0" w:space="0" w:color="auto"/>
          </w:divBdr>
        </w:div>
        <w:div w:id="1733844876">
          <w:marLeft w:val="0"/>
          <w:marRight w:val="0"/>
          <w:marTop w:val="0"/>
          <w:marBottom w:val="0"/>
          <w:divBdr>
            <w:top w:val="none" w:sz="0" w:space="0" w:color="auto"/>
            <w:left w:val="none" w:sz="0" w:space="0" w:color="auto"/>
            <w:bottom w:val="none" w:sz="0" w:space="0" w:color="auto"/>
            <w:right w:val="none" w:sz="0" w:space="0" w:color="auto"/>
          </w:divBdr>
        </w:div>
        <w:div w:id="1745181248">
          <w:marLeft w:val="0"/>
          <w:marRight w:val="0"/>
          <w:marTop w:val="0"/>
          <w:marBottom w:val="0"/>
          <w:divBdr>
            <w:top w:val="none" w:sz="0" w:space="0" w:color="auto"/>
            <w:left w:val="none" w:sz="0" w:space="0" w:color="auto"/>
            <w:bottom w:val="none" w:sz="0" w:space="0" w:color="auto"/>
            <w:right w:val="none" w:sz="0" w:space="0" w:color="auto"/>
          </w:divBdr>
        </w:div>
        <w:div w:id="1750151767">
          <w:marLeft w:val="0"/>
          <w:marRight w:val="0"/>
          <w:marTop w:val="0"/>
          <w:marBottom w:val="0"/>
          <w:divBdr>
            <w:top w:val="none" w:sz="0" w:space="0" w:color="auto"/>
            <w:left w:val="none" w:sz="0" w:space="0" w:color="auto"/>
            <w:bottom w:val="none" w:sz="0" w:space="0" w:color="auto"/>
            <w:right w:val="none" w:sz="0" w:space="0" w:color="auto"/>
          </w:divBdr>
        </w:div>
        <w:div w:id="1783064053">
          <w:marLeft w:val="0"/>
          <w:marRight w:val="0"/>
          <w:marTop w:val="0"/>
          <w:marBottom w:val="0"/>
          <w:divBdr>
            <w:top w:val="none" w:sz="0" w:space="0" w:color="auto"/>
            <w:left w:val="none" w:sz="0" w:space="0" w:color="auto"/>
            <w:bottom w:val="none" w:sz="0" w:space="0" w:color="auto"/>
            <w:right w:val="none" w:sz="0" w:space="0" w:color="auto"/>
          </w:divBdr>
        </w:div>
        <w:div w:id="1852140812">
          <w:marLeft w:val="0"/>
          <w:marRight w:val="0"/>
          <w:marTop w:val="0"/>
          <w:marBottom w:val="0"/>
          <w:divBdr>
            <w:top w:val="none" w:sz="0" w:space="0" w:color="auto"/>
            <w:left w:val="none" w:sz="0" w:space="0" w:color="auto"/>
            <w:bottom w:val="none" w:sz="0" w:space="0" w:color="auto"/>
            <w:right w:val="none" w:sz="0" w:space="0" w:color="auto"/>
          </w:divBdr>
        </w:div>
        <w:div w:id="1870290045">
          <w:marLeft w:val="0"/>
          <w:marRight w:val="0"/>
          <w:marTop w:val="0"/>
          <w:marBottom w:val="0"/>
          <w:divBdr>
            <w:top w:val="none" w:sz="0" w:space="0" w:color="auto"/>
            <w:left w:val="none" w:sz="0" w:space="0" w:color="auto"/>
            <w:bottom w:val="none" w:sz="0" w:space="0" w:color="auto"/>
            <w:right w:val="none" w:sz="0" w:space="0" w:color="auto"/>
          </w:divBdr>
        </w:div>
        <w:div w:id="1905527232">
          <w:marLeft w:val="0"/>
          <w:marRight w:val="0"/>
          <w:marTop w:val="0"/>
          <w:marBottom w:val="0"/>
          <w:divBdr>
            <w:top w:val="none" w:sz="0" w:space="0" w:color="auto"/>
            <w:left w:val="none" w:sz="0" w:space="0" w:color="auto"/>
            <w:bottom w:val="none" w:sz="0" w:space="0" w:color="auto"/>
            <w:right w:val="none" w:sz="0" w:space="0" w:color="auto"/>
          </w:divBdr>
        </w:div>
        <w:div w:id="2055303012">
          <w:marLeft w:val="0"/>
          <w:marRight w:val="0"/>
          <w:marTop w:val="0"/>
          <w:marBottom w:val="0"/>
          <w:divBdr>
            <w:top w:val="none" w:sz="0" w:space="0" w:color="auto"/>
            <w:left w:val="none" w:sz="0" w:space="0" w:color="auto"/>
            <w:bottom w:val="none" w:sz="0" w:space="0" w:color="auto"/>
            <w:right w:val="none" w:sz="0" w:space="0" w:color="auto"/>
          </w:divBdr>
        </w:div>
        <w:div w:id="2134713927">
          <w:marLeft w:val="0"/>
          <w:marRight w:val="0"/>
          <w:marTop w:val="0"/>
          <w:marBottom w:val="0"/>
          <w:divBdr>
            <w:top w:val="none" w:sz="0" w:space="0" w:color="auto"/>
            <w:left w:val="none" w:sz="0" w:space="0" w:color="auto"/>
            <w:bottom w:val="none" w:sz="0" w:space="0" w:color="auto"/>
            <w:right w:val="none" w:sz="0" w:space="0" w:color="auto"/>
          </w:divBdr>
        </w:div>
      </w:divsChild>
    </w:div>
    <w:div w:id="2051146729">
      <w:bodyDiv w:val="1"/>
      <w:marLeft w:val="0"/>
      <w:marRight w:val="0"/>
      <w:marTop w:val="0"/>
      <w:marBottom w:val="0"/>
      <w:divBdr>
        <w:top w:val="none" w:sz="0" w:space="0" w:color="auto"/>
        <w:left w:val="none" w:sz="0" w:space="0" w:color="auto"/>
        <w:bottom w:val="none" w:sz="0" w:space="0" w:color="auto"/>
        <w:right w:val="none" w:sz="0" w:space="0" w:color="auto"/>
      </w:divBdr>
      <w:divsChild>
        <w:div w:id="382950719">
          <w:marLeft w:val="0"/>
          <w:marRight w:val="0"/>
          <w:marTop w:val="0"/>
          <w:marBottom w:val="0"/>
          <w:divBdr>
            <w:top w:val="none" w:sz="0" w:space="0" w:color="auto"/>
            <w:left w:val="none" w:sz="0" w:space="0" w:color="auto"/>
            <w:bottom w:val="none" w:sz="0" w:space="0" w:color="auto"/>
            <w:right w:val="none" w:sz="0" w:space="0" w:color="auto"/>
          </w:divBdr>
        </w:div>
        <w:div w:id="532230397">
          <w:marLeft w:val="0"/>
          <w:marRight w:val="0"/>
          <w:marTop w:val="0"/>
          <w:marBottom w:val="0"/>
          <w:divBdr>
            <w:top w:val="none" w:sz="0" w:space="0" w:color="auto"/>
            <w:left w:val="none" w:sz="0" w:space="0" w:color="auto"/>
            <w:bottom w:val="none" w:sz="0" w:space="0" w:color="auto"/>
            <w:right w:val="none" w:sz="0" w:space="0" w:color="auto"/>
          </w:divBdr>
        </w:div>
        <w:div w:id="748623196">
          <w:marLeft w:val="0"/>
          <w:marRight w:val="0"/>
          <w:marTop w:val="0"/>
          <w:marBottom w:val="0"/>
          <w:divBdr>
            <w:top w:val="none" w:sz="0" w:space="0" w:color="auto"/>
            <w:left w:val="none" w:sz="0" w:space="0" w:color="auto"/>
            <w:bottom w:val="none" w:sz="0" w:space="0" w:color="auto"/>
            <w:right w:val="none" w:sz="0" w:space="0" w:color="auto"/>
          </w:divBdr>
        </w:div>
        <w:div w:id="1463886431">
          <w:marLeft w:val="0"/>
          <w:marRight w:val="0"/>
          <w:marTop w:val="0"/>
          <w:marBottom w:val="0"/>
          <w:divBdr>
            <w:top w:val="none" w:sz="0" w:space="0" w:color="auto"/>
            <w:left w:val="none" w:sz="0" w:space="0" w:color="auto"/>
            <w:bottom w:val="none" w:sz="0" w:space="0" w:color="auto"/>
            <w:right w:val="none" w:sz="0" w:space="0" w:color="auto"/>
          </w:divBdr>
        </w:div>
        <w:div w:id="1953394680">
          <w:marLeft w:val="0"/>
          <w:marRight w:val="0"/>
          <w:marTop w:val="0"/>
          <w:marBottom w:val="0"/>
          <w:divBdr>
            <w:top w:val="none" w:sz="0" w:space="0" w:color="auto"/>
            <w:left w:val="none" w:sz="0" w:space="0" w:color="auto"/>
            <w:bottom w:val="none" w:sz="0" w:space="0" w:color="auto"/>
            <w:right w:val="none" w:sz="0" w:space="0" w:color="auto"/>
          </w:divBdr>
        </w:div>
      </w:divsChild>
    </w:div>
    <w:div w:id="2078016556">
      <w:bodyDiv w:val="1"/>
      <w:marLeft w:val="0"/>
      <w:marRight w:val="0"/>
      <w:marTop w:val="0"/>
      <w:marBottom w:val="0"/>
      <w:divBdr>
        <w:top w:val="none" w:sz="0" w:space="0" w:color="auto"/>
        <w:left w:val="none" w:sz="0" w:space="0" w:color="auto"/>
        <w:bottom w:val="none" w:sz="0" w:space="0" w:color="auto"/>
        <w:right w:val="none" w:sz="0" w:space="0" w:color="auto"/>
      </w:divBdr>
      <w:divsChild>
        <w:div w:id="276719958">
          <w:marLeft w:val="0"/>
          <w:marRight w:val="0"/>
          <w:marTop w:val="0"/>
          <w:marBottom w:val="0"/>
          <w:divBdr>
            <w:top w:val="none" w:sz="0" w:space="0" w:color="auto"/>
            <w:left w:val="none" w:sz="0" w:space="0" w:color="auto"/>
            <w:bottom w:val="none" w:sz="0" w:space="0" w:color="auto"/>
            <w:right w:val="none" w:sz="0" w:space="0" w:color="auto"/>
          </w:divBdr>
        </w:div>
        <w:div w:id="493574443">
          <w:marLeft w:val="0"/>
          <w:marRight w:val="0"/>
          <w:marTop w:val="0"/>
          <w:marBottom w:val="0"/>
          <w:divBdr>
            <w:top w:val="none" w:sz="0" w:space="0" w:color="auto"/>
            <w:left w:val="none" w:sz="0" w:space="0" w:color="auto"/>
            <w:bottom w:val="none" w:sz="0" w:space="0" w:color="auto"/>
            <w:right w:val="none" w:sz="0" w:space="0" w:color="auto"/>
          </w:divBdr>
        </w:div>
        <w:div w:id="621964869">
          <w:marLeft w:val="0"/>
          <w:marRight w:val="0"/>
          <w:marTop w:val="0"/>
          <w:marBottom w:val="0"/>
          <w:divBdr>
            <w:top w:val="none" w:sz="0" w:space="0" w:color="auto"/>
            <w:left w:val="none" w:sz="0" w:space="0" w:color="auto"/>
            <w:bottom w:val="none" w:sz="0" w:space="0" w:color="auto"/>
            <w:right w:val="none" w:sz="0" w:space="0" w:color="auto"/>
          </w:divBdr>
        </w:div>
        <w:div w:id="1011566514">
          <w:marLeft w:val="0"/>
          <w:marRight w:val="0"/>
          <w:marTop w:val="0"/>
          <w:marBottom w:val="0"/>
          <w:divBdr>
            <w:top w:val="none" w:sz="0" w:space="0" w:color="auto"/>
            <w:left w:val="none" w:sz="0" w:space="0" w:color="auto"/>
            <w:bottom w:val="none" w:sz="0" w:space="0" w:color="auto"/>
            <w:right w:val="none" w:sz="0" w:space="0" w:color="auto"/>
          </w:divBdr>
        </w:div>
        <w:div w:id="1725717422">
          <w:marLeft w:val="0"/>
          <w:marRight w:val="0"/>
          <w:marTop w:val="0"/>
          <w:marBottom w:val="0"/>
          <w:divBdr>
            <w:top w:val="none" w:sz="0" w:space="0" w:color="auto"/>
            <w:left w:val="none" w:sz="0" w:space="0" w:color="auto"/>
            <w:bottom w:val="none" w:sz="0" w:space="0" w:color="auto"/>
            <w:right w:val="none" w:sz="0" w:space="0" w:color="auto"/>
          </w:divBdr>
        </w:div>
      </w:divsChild>
    </w:div>
    <w:div w:id="2085713419">
      <w:bodyDiv w:val="1"/>
      <w:marLeft w:val="0"/>
      <w:marRight w:val="0"/>
      <w:marTop w:val="0"/>
      <w:marBottom w:val="0"/>
      <w:divBdr>
        <w:top w:val="none" w:sz="0" w:space="0" w:color="auto"/>
        <w:left w:val="none" w:sz="0" w:space="0" w:color="auto"/>
        <w:bottom w:val="none" w:sz="0" w:space="0" w:color="auto"/>
        <w:right w:val="none" w:sz="0" w:space="0" w:color="auto"/>
      </w:divBdr>
    </w:div>
    <w:div w:id="2086145349">
      <w:bodyDiv w:val="1"/>
      <w:marLeft w:val="0"/>
      <w:marRight w:val="0"/>
      <w:marTop w:val="0"/>
      <w:marBottom w:val="0"/>
      <w:divBdr>
        <w:top w:val="none" w:sz="0" w:space="0" w:color="auto"/>
        <w:left w:val="none" w:sz="0" w:space="0" w:color="auto"/>
        <w:bottom w:val="none" w:sz="0" w:space="0" w:color="auto"/>
        <w:right w:val="none" w:sz="0" w:space="0" w:color="auto"/>
      </w:divBdr>
      <w:divsChild>
        <w:div w:id="1333292139">
          <w:marLeft w:val="0"/>
          <w:marRight w:val="0"/>
          <w:marTop w:val="0"/>
          <w:marBottom w:val="0"/>
          <w:divBdr>
            <w:top w:val="none" w:sz="0" w:space="0" w:color="auto"/>
            <w:left w:val="none" w:sz="0" w:space="0" w:color="auto"/>
            <w:bottom w:val="none" w:sz="0" w:space="0" w:color="auto"/>
            <w:right w:val="none" w:sz="0" w:space="0" w:color="auto"/>
          </w:divBdr>
        </w:div>
        <w:div w:id="1846282797">
          <w:marLeft w:val="0"/>
          <w:marRight w:val="0"/>
          <w:marTop w:val="0"/>
          <w:marBottom w:val="0"/>
          <w:divBdr>
            <w:top w:val="none" w:sz="0" w:space="0" w:color="auto"/>
            <w:left w:val="none" w:sz="0" w:space="0" w:color="auto"/>
            <w:bottom w:val="none" w:sz="0" w:space="0" w:color="auto"/>
            <w:right w:val="none" w:sz="0" w:space="0" w:color="auto"/>
          </w:divBdr>
        </w:div>
      </w:divsChild>
    </w:div>
    <w:div w:id="2089768862">
      <w:bodyDiv w:val="1"/>
      <w:marLeft w:val="0"/>
      <w:marRight w:val="0"/>
      <w:marTop w:val="0"/>
      <w:marBottom w:val="0"/>
      <w:divBdr>
        <w:top w:val="none" w:sz="0" w:space="0" w:color="auto"/>
        <w:left w:val="none" w:sz="0" w:space="0" w:color="auto"/>
        <w:bottom w:val="none" w:sz="0" w:space="0" w:color="auto"/>
        <w:right w:val="none" w:sz="0" w:space="0" w:color="auto"/>
      </w:divBdr>
      <w:divsChild>
        <w:div w:id="676275589">
          <w:marLeft w:val="0"/>
          <w:marRight w:val="0"/>
          <w:marTop w:val="0"/>
          <w:marBottom w:val="0"/>
          <w:divBdr>
            <w:top w:val="none" w:sz="0" w:space="0" w:color="auto"/>
            <w:left w:val="none" w:sz="0" w:space="0" w:color="auto"/>
            <w:bottom w:val="none" w:sz="0" w:space="0" w:color="auto"/>
            <w:right w:val="none" w:sz="0" w:space="0" w:color="auto"/>
          </w:divBdr>
          <w:divsChild>
            <w:div w:id="630477147">
              <w:marLeft w:val="0"/>
              <w:marRight w:val="0"/>
              <w:marTop w:val="0"/>
              <w:marBottom w:val="0"/>
              <w:divBdr>
                <w:top w:val="none" w:sz="0" w:space="0" w:color="auto"/>
                <w:left w:val="none" w:sz="0" w:space="0" w:color="auto"/>
                <w:bottom w:val="none" w:sz="0" w:space="0" w:color="auto"/>
                <w:right w:val="none" w:sz="0" w:space="0" w:color="auto"/>
              </w:divBdr>
              <w:divsChild>
                <w:div w:id="16207202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2701632">
      <w:bodyDiv w:val="1"/>
      <w:marLeft w:val="0"/>
      <w:marRight w:val="0"/>
      <w:marTop w:val="0"/>
      <w:marBottom w:val="0"/>
      <w:divBdr>
        <w:top w:val="none" w:sz="0" w:space="0" w:color="auto"/>
        <w:left w:val="none" w:sz="0" w:space="0" w:color="auto"/>
        <w:bottom w:val="none" w:sz="0" w:space="0" w:color="auto"/>
        <w:right w:val="none" w:sz="0" w:space="0" w:color="auto"/>
      </w:divBdr>
      <w:divsChild>
        <w:div w:id="314913762">
          <w:marLeft w:val="0"/>
          <w:marRight w:val="0"/>
          <w:marTop w:val="0"/>
          <w:marBottom w:val="0"/>
          <w:divBdr>
            <w:top w:val="none" w:sz="0" w:space="0" w:color="auto"/>
            <w:left w:val="none" w:sz="0" w:space="0" w:color="auto"/>
            <w:bottom w:val="none" w:sz="0" w:space="0" w:color="auto"/>
            <w:right w:val="none" w:sz="0" w:space="0" w:color="auto"/>
          </w:divBdr>
        </w:div>
        <w:div w:id="1050959551">
          <w:marLeft w:val="0"/>
          <w:marRight w:val="0"/>
          <w:marTop w:val="0"/>
          <w:marBottom w:val="0"/>
          <w:divBdr>
            <w:top w:val="none" w:sz="0" w:space="0" w:color="auto"/>
            <w:left w:val="none" w:sz="0" w:space="0" w:color="auto"/>
            <w:bottom w:val="none" w:sz="0" w:space="0" w:color="auto"/>
            <w:right w:val="none" w:sz="0" w:space="0" w:color="auto"/>
          </w:divBdr>
        </w:div>
        <w:div w:id="2125927714">
          <w:marLeft w:val="0"/>
          <w:marRight w:val="0"/>
          <w:marTop w:val="0"/>
          <w:marBottom w:val="0"/>
          <w:divBdr>
            <w:top w:val="none" w:sz="0" w:space="0" w:color="auto"/>
            <w:left w:val="none" w:sz="0" w:space="0" w:color="auto"/>
            <w:bottom w:val="none" w:sz="0" w:space="0" w:color="auto"/>
            <w:right w:val="none" w:sz="0" w:space="0" w:color="auto"/>
          </w:divBdr>
        </w:div>
      </w:divsChild>
    </w:div>
    <w:div w:id="2105295471">
      <w:bodyDiv w:val="1"/>
      <w:marLeft w:val="0"/>
      <w:marRight w:val="0"/>
      <w:marTop w:val="0"/>
      <w:marBottom w:val="0"/>
      <w:divBdr>
        <w:top w:val="none" w:sz="0" w:space="0" w:color="auto"/>
        <w:left w:val="none" w:sz="0" w:space="0" w:color="auto"/>
        <w:bottom w:val="none" w:sz="0" w:space="0" w:color="auto"/>
        <w:right w:val="none" w:sz="0" w:space="0" w:color="auto"/>
      </w:divBdr>
      <w:divsChild>
        <w:div w:id="930704545">
          <w:marLeft w:val="274"/>
          <w:marRight w:val="0"/>
          <w:marTop w:val="0"/>
          <w:marBottom w:val="0"/>
          <w:divBdr>
            <w:top w:val="none" w:sz="0" w:space="0" w:color="auto"/>
            <w:left w:val="none" w:sz="0" w:space="0" w:color="auto"/>
            <w:bottom w:val="none" w:sz="0" w:space="0" w:color="auto"/>
            <w:right w:val="none" w:sz="0" w:space="0" w:color="auto"/>
          </w:divBdr>
        </w:div>
        <w:div w:id="1112743495">
          <w:marLeft w:val="274"/>
          <w:marRight w:val="0"/>
          <w:marTop w:val="0"/>
          <w:marBottom w:val="0"/>
          <w:divBdr>
            <w:top w:val="none" w:sz="0" w:space="0" w:color="auto"/>
            <w:left w:val="none" w:sz="0" w:space="0" w:color="auto"/>
            <w:bottom w:val="none" w:sz="0" w:space="0" w:color="auto"/>
            <w:right w:val="none" w:sz="0" w:space="0" w:color="auto"/>
          </w:divBdr>
        </w:div>
        <w:div w:id="1470367908">
          <w:marLeft w:val="274"/>
          <w:marRight w:val="0"/>
          <w:marTop w:val="0"/>
          <w:marBottom w:val="0"/>
          <w:divBdr>
            <w:top w:val="none" w:sz="0" w:space="0" w:color="auto"/>
            <w:left w:val="none" w:sz="0" w:space="0" w:color="auto"/>
            <w:bottom w:val="none" w:sz="0" w:space="0" w:color="auto"/>
            <w:right w:val="none" w:sz="0" w:space="0" w:color="auto"/>
          </w:divBdr>
        </w:div>
        <w:div w:id="1543975292">
          <w:marLeft w:val="274"/>
          <w:marRight w:val="0"/>
          <w:marTop w:val="0"/>
          <w:marBottom w:val="0"/>
          <w:divBdr>
            <w:top w:val="none" w:sz="0" w:space="0" w:color="auto"/>
            <w:left w:val="none" w:sz="0" w:space="0" w:color="auto"/>
            <w:bottom w:val="none" w:sz="0" w:space="0" w:color="auto"/>
            <w:right w:val="none" w:sz="0" w:space="0" w:color="auto"/>
          </w:divBdr>
        </w:div>
        <w:div w:id="1695301762">
          <w:marLeft w:val="274"/>
          <w:marRight w:val="0"/>
          <w:marTop w:val="0"/>
          <w:marBottom w:val="0"/>
          <w:divBdr>
            <w:top w:val="none" w:sz="0" w:space="0" w:color="auto"/>
            <w:left w:val="none" w:sz="0" w:space="0" w:color="auto"/>
            <w:bottom w:val="none" w:sz="0" w:space="0" w:color="auto"/>
            <w:right w:val="none" w:sz="0" w:space="0" w:color="auto"/>
          </w:divBdr>
        </w:div>
      </w:divsChild>
    </w:div>
    <w:div w:id="2131972986">
      <w:bodyDiv w:val="1"/>
      <w:marLeft w:val="0"/>
      <w:marRight w:val="0"/>
      <w:marTop w:val="0"/>
      <w:marBottom w:val="0"/>
      <w:divBdr>
        <w:top w:val="none" w:sz="0" w:space="0" w:color="auto"/>
        <w:left w:val="none" w:sz="0" w:space="0" w:color="auto"/>
        <w:bottom w:val="none" w:sz="0" w:space="0" w:color="auto"/>
        <w:right w:val="none" w:sz="0" w:space="0" w:color="auto"/>
      </w:divBdr>
      <w:divsChild>
        <w:div w:id="1819689515">
          <w:marLeft w:val="0"/>
          <w:marRight w:val="0"/>
          <w:marTop w:val="0"/>
          <w:marBottom w:val="0"/>
          <w:divBdr>
            <w:top w:val="none" w:sz="0" w:space="0" w:color="auto"/>
            <w:left w:val="none" w:sz="0" w:space="0" w:color="auto"/>
            <w:bottom w:val="none" w:sz="0" w:space="0" w:color="auto"/>
            <w:right w:val="none" w:sz="0" w:space="0" w:color="auto"/>
          </w:divBdr>
          <w:divsChild>
            <w:div w:id="165022036">
              <w:marLeft w:val="0"/>
              <w:marRight w:val="0"/>
              <w:marTop w:val="0"/>
              <w:marBottom w:val="0"/>
              <w:divBdr>
                <w:top w:val="none" w:sz="0" w:space="0" w:color="auto"/>
                <w:left w:val="none" w:sz="0" w:space="0" w:color="auto"/>
                <w:bottom w:val="none" w:sz="0" w:space="0" w:color="auto"/>
                <w:right w:val="none" w:sz="0" w:space="0" w:color="auto"/>
              </w:divBdr>
              <w:divsChild>
                <w:div w:id="641467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webSettings>
</file>

<file path=word/_rels/document.xml.rels><?xml version="1.0" encoding="UTF-8" standalone="yes"?>
<Relationships xmlns="http://schemas.openxmlformats.org/package/2006/relationships"><Relationship Id="rId26" Type="http://schemas.openxmlformats.org/officeDocument/2006/relationships/hyperlink" Target="https://www.kccap.info/index_option_com_phocadownload_view_category_id_34_Itemid_38.html" TargetMode="External"/><Relationship Id="rId21" Type="http://schemas.openxmlformats.org/officeDocument/2006/relationships/image" Target="media/image11.emf"/><Relationship Id="rId34" Type="http://schemas.openxmlformats.org/officeDocument/2006/relationships/image" Target="media/image22.emf"/><Relationship Id="rId42" Type="http://schemas.openxmlformats.org/officeDocument/2006/relationships/image" Target="media/image29.png"/><Relationship Id="rId47" Type="http://schemas.openxmlformats.org/officeDocument/2006/relationships/hyperlink" Target="https://www.eba.europa.eu" TargetMode="External"/><Relationship Id="rId50" Type="http://schemas.openxmlformats.org/officeDocument/2006/relationships/hyperlink" Target="https://home.barclays/sustainability" TargetMode="External"/><Relationship Id="rId55" Type="http://schemas.openxmlformats.org/officeDocument/2006/relationships/hyperlink" Target="https://www.td.com" TargetMode="External"/><Relationship Id="rId63" Type="http://schemas.openxmlformats.org/officeDocument/2006/relationships/header" Target="header3.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6.emf"/><Relationship Id="rId29" Type="http://schemas.openxmlformats.org/officeDocument/2006/relationships/image" Target="media/image18.png"/><Relationship Id="rId11" Type="http://schemas.openxmlformats.org/officeDocument/2006/relationships/image" Target="media/image1.jpeg"/><Relationship Id="rId24" Type="http://schemas.openxmlformats.org/officeDocument/2006/relationships/image" Target="media/image14.emf"/><Relationship Id="rId32" Type="http://schemas.openxmlformats.org/officeDocument/2006/relationships/image" Target="media/image20.png"/><Relationship Id="rId37" Type="http://schemas.openxmlformats.org/officeDocument/2006/relationships/image" Target="media/image25.png"/><Relationship Id="rId40" Type="http://schemas.openxmlformats.org/officeDocument/2006/relationships/image" Target="media/image27.emf"/><Relationship Id="rId45" Type="http://schemas.openxmlformats.org/officeDocument/2006/relationships/hyperlink" Target="https://www.centralbank.go.ke" TargetMode="External"/><Relationship Id="rId53" Type="http://schemas.openxmlformats.org/officeDocument/2006/relationships/hyperlink" Target="https://www.citigroup.com" TargetMode="External"/><Relationship Id="rId58" Type="http://schemas.openxmlformats.org/officeDocument/2006/relationships/hyperlink" Target="https://www.carbonaccountingfinancials.com" TargetMode="External"/><Relationship Id="rId66" Type="http://schemas.openxmlformats.org/officeDocument/2006/relationships/theme" Target="theme/theme1.xml"/><Relationship Id="rId5" Type="http://schemas.openxmlformats.org/officeDocument/2006/relationships/numbering" Target="numbering.xml"/><Relationship Id="rId61" Type="http://schemas.openxmlformats.org/officeDocument/2006/relationships/footer" Target="footer1.xml"/><Relationship Id="rId19" Type="http://schemas.openxmlformats.org/officeDocument/2006/relationships/image" Target="media/image9.emf"/><Relationship Id="rId14" Type="http://schemas.openxmlformats.org/officeDocument/2006/relationships/image" Target="media/image4.emf"/><Relationship Id="rId22" Type="http://schemas.openxmlformats.org/officeDocument/2006/relationships/image" Target="media/image12.emf"/><Relationship Id="rId27" Type="http://schemas.openxmlformats.org/officeDocument/2006/relationships/image" Target="media/image16.png"/><Relationship Id="rId30" Type="http://schemas.openxmlformats.org/officeDocument/2006/relationships/hyperlink" Target="https://carbonaccountingfinancials.com/files/downloads/PCAF-Global-GHG-Standard.pdf" TargetMode="External"/><Relationship Id="rId35" Type="http://schemas.openxmlformats.org/officeDocument/2006/relationships/image" Target="media/image23.png"/><Relationship Id="rId43" Type="http://schemas.openxmlformats.org/officeDocument/2006/relationships/image" Target="media/image30.png"/><Relationship Id="rId48" Type="http://schemas.openxmlformats.org/officeDocument/2006/relationships/hyperlink" Target="https://www.ecb.europa.eu" TargetMode="External"/><Relationship Id="rId56" Type="http://schemas.openxmlformats.org/officeDocument/2006/relationships/hyperlink" Target="https://www.natwestgroup.com" TargetMode="External"/><Relationship Id="rId64" Type="http://schemas.openxmlformats.org/officeDocument/2006/relationships/footer" Target="footer3.xml"/><Relationship Id="rId8" Type="http://schemas.openxmlformats.org/officeDocument/2006/relationships/webSettings" Target="webSettings.xml"/><Relationship Id="rId51" Type="http://schemas.openxmlformats.org/officeDocument/2006/relationships/hyperlink" Target="https://www.bbva.com" TargetMode="Externa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image" Target="media/image7.emf"/><Relationship Id="rId25" Type="http://schemas.openxmlformats.org/officeDocument/2006/relationships/image" Target="media/image15.emf"/><Relationship Id="rId33" Type="http://schemas.openxmlformats.org/officeDocument/2006/relationships/image" Target="media/image21.png"/><Relationship Id="rId38" Type="http://schemas.microsoft.com/office/2007/relationships/hdphoto" Target="media/hdphoto1.wdp"/><Relationship Id="rId46" Type="http://schemas.openxmlformats.org/officeDocument/2006/relationships/hyperlink" Target="https://www.bankofengland.co.uk/climate-change" TargetMode="External"/><Relationship Id="rId59" Type="http://schemas.openxmlformats.org/officeDocument/2006/relationships/header" Target="header1.xml"/><Relationship Id="rId20" Type="http://schemas.openxmlformats.org/officeDocument/2006/relationships/image" Target="media/image10.emf"/><Relationship Id="rId41" Type="http://schemas.openxmlformats.org/officeDocument/2006/relationships/image" Target="media/image28.png"/><Relationship Id="rId54" Type="http://schemas.openxmlformats.org/officeDocument/2006/relationships/hyperlink" Target="https://www.ing.com" TargetMode="External"/><Relationship Id="rId62"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5.emf"/><Relationship Id="rId23" Type="http://schemas.openxmlformats.org/officeDocument/2006/relationships/image" Target="media/image13.emf"/><Relationship Id="rId28" Type="http://schemas.openxmlformats.org/officeDocument/2006/relationships/image" Target="media/image17.png"/><Relationship Id="rId36" Type="http://schemas.openxmlformats.org/officeDocument/2006/relationships/image" Target="media/image24.emf"/><Relationship Id="rId49" Type="http://schemas.openxmlformats.org/officeDocument/2006/relationships/hyperlink" Target="https://www.gfanz.org" TargetMode="External"/><Relationship Id="rId57" Type="http://schemas.openxmlformats.org/officeDocument/2006/relationships/hyperlink" Target="https://www.ngfs.net" TargetMode="External"/><Relationship Id="rId10" Type="http://schemas.openxmlformats.org/officeDocument/2006/relationships/endnotes" Target="endnotes.xml"/><Relationship Id="rId31" Type="http://schemas.openxmlformats.org/officeDocument/2006/relationships/image" Target="media/image19.emf"/><Relationship Id="rId44" Type="http://schemas.openxmlformats.org/officeDocument/2006/relationships/image" Target="media/image31.emf"/><Relationship Id="rId52" Type="http://schemas.openxmlformats.org/officeDocument/2006/relationships/hyperlink" Target="https://group.bnpparibas" TargetMode="External"/><Relationship Id="rId60" Type="http://schemas.openxmlformats.org/officeDocument/2006/relationships/header" Target="header2.xml"/><Relationship Id="rId65"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image" Target="media/image3.emf"/><Relationship Id="rId18" Type="http://schemas.openxmlformats.org/officeDocument/2006/relationships/image" Target="media/image8.emf"/><Relationship Id="rId39" Type="http://schemas.openxmlformats.org/officeDocument/2006/relationships/image" Target="media/image26.png"/></Relationships>
</file>

<file path=word/_rels/footnotes.xml.rels><?xml version="1.0" encoding="UTF-8" standalone="yes"?>
<Relationships xmlns="http://schemas.openxmlformats.org/package/2006/relationships"><Relationship Id="rId3" Type="http://schemas.openxmlformats.org/officeDocument/2006/relationships/hyperlink" Target="https://www.ifrs.org/issued-standards/ifrs-sustainability-standards-navigator/ifrs-s1-general-requirements/" TargetMode="External"/><Relationship Id="rId2" Type="http://schemas.openxmlformats.org/officeDocument/2006/relationships/hyperlink" Target="https://www.ifrs.org/groups/international-sustainability-standards-board" TargetMode="External"/><Relationship Id="rId1" Type="http://schemas.openxmlformats.org/officeDocument/2006/relationships/hyperlink" Target="https://www.afdb.org/sites/default/files/2023/09/08/the_african_leaders_nairobi_declaration_on_climate_change-rev-eng.pdf" TargetMode="External"/><Relationship Id="rId5" Type="http://schemas.openxmlformats.org/officeDocument/2006/relationships/hyperlink" Target="https://www.fsb-tcfd.org/" TargetMode="External"/><Relationship Id="rId4" Type="http://schemas.openxmlformats.org/officeDocument/2006/relationships/hyperlink" Target="https://www.ifrs.org/issued-standards/ifrs-sustainability-standards-navigator/ifrs-s2-climate-related-disclosure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SharedWithUsers xmlns="0fb846bb-49da-442d-ac44-1711760f675e">
      <UserInfo>
        <DisplayName>Patrick Nganga</DisplayName>
        <AccountId>125</AccountId>
        <AccountType/>
      </UserInfo>
      <UserInfo>
        <DisplayName>Enrique Rebolledo</DisplayName>
        <AccountId>14</AccountId>
        <AccountType/>
      </UserInfo>
      <UserInfo>
        <DisplayName>Hussein Anooshah</DisplayName>
        <AccountId>95</AccountId>
        <AccountType/>
      </UserInfo>
      <UserInfo>
        <DisplayName>Stephane Neyreneuf</DisplayName>
        <AccountId>10</AccountId>
        <AccountType/>
      </UserInfo>
    </SharedWithUsers>
    <TaxCatchAll xmlns="0fb846bb-49da-442d-ac44-1711760f675e" xsi:nil="true"/>
    <lcf76f155ced4ddcb4097134ff3c332f xmlns="11876741-4e3d-41e4-924e-432c5fed92e0">
      <Terms xmlns="http://schemas.microsoft.com/office/infopath/2007/PartnerControls"/>
    </lcf76f155ced4ddcb4097134ff3c332f>
    <Hyperlink xmlns="11876741-4e3d-41e4-924e-432c5fed92e0">
      <Url xsi:nil="true"/>
      <Description xsi:nil="true"/>
    </Hyperlink>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07AE9AADD9055F48A76998BB8EEE9D03" ma:contentTypeVersion="16" ma:contentTypeDescription="Create a new document." ma:contentTypeScope="" ma:versionID="c9bb4e49b05191d9249650668621d32b">
  <xsd:schema xmlns:xsd="http://www.w3.org/2001/XMLSchema" xmlns:xs="http://www.w3.org/2001/XMLSchema" xmlns:p="http://schemas.microsoft.com/office/2006/metadata/properties" xmlns:ns2="11876741-4e3d-41e4-924e-432c5fed92e0" xmlns:ns3="0fb846bb-49da-442d-ac44-1711760f675e" targetNamespace="http://schemas.microsoft.com/office/2006/metadata/properties" ma:root="true" ma:fieldsID="aa28ce72901f1b9c05c04d26ffafc7d6" ns2:_="" ns3:_="">
    <xsd:import namespace="11876741-4e3d-41e4-924e-432c5fed92e0"/>
    <xsd:import namespace="0fb846bb-49da-442d-ac44-1711760f675e"/>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3:SharedWithUsers" minOccurs="0"/>
                <xsd:element ref="ns3:SharedWithDetails" minOccurs="0"/>
                <xsd:element ref="ns2:MediaServiceObjectDetectorVersions" minOccurs="0"/>
                <xsd:element ref="ns2:MediaLengthInSeconds" minOccurs="0"/>
                <xsd:element ref="ns2:MediaServiceSearchProperties" minOccurs="0"/>
                <xsd:element ref="ns2:MediaServiceLocation" minOccurs="0"/>
                <xsd:element ref="ns2:Hyperlink"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1876741-4e3d-41e4-924e-432c5fed92e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Image Tags" ma:readOnly="false" ma:fieldId="{5cf76f15-5ced-4ddc-b409-7134ff3c332f}" ma:taxonomyMulti="true" ma:sspId="43e14187-b4d4-4fc9-8c4a-20dc3ccbfd5c" ma:termSetId="09814cd3-568e-fe90-9814-8d621ff8fb84" ma:anchorId="fba54fb3-c3e1-fe81-a776-ca4b69148c4d" ma:open="true" ma:isKeyword="false">
      <xsd:complexType>
        <xsd:sequence>
          <xsd:element ref="pc:Terms" minOccurs="0" maxOccurs="1"/>
        </xsd:sequence>
      </xsd:complex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dexed="true" ma:internalName="MediaServiceDateTaken" ma:readOnly="true">
      <xsd:simpleType>
        <xsd:restriction base="dms:Text"/>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SearchProperties" ma:index="21" nillable="true" ma:displayName="MediaServiceSearchProperties" ma:hidden="true" ma:internalName="MediaServiceSearchProperties" ma:readOnly="true">
      <xsd:simpleType>
        <xsd:restriction base="dms:Note"/>
      </xsd:simpleType>
    </xsd:element>
    <xsd:element name="MediaServiceLocation" ma:index="22" nillable="true" ma:displayName="Location" ma:indexed="true" ma:internalName="MediaServiceLocation" ma:readOnly="true">
      <xsd:simpleType>
        <xsd:restriction base="dms:Text"/>
      </xsd:simpleType>
    </xsd:element>
    <xsd:element name="Hyperlink" ma:index="23" nillable="true" ma:displayName="Hyperlink" ma:format="Hyperlink" ma:internalName="Hyperlink">
      <xsd:complexType>
        <xsd:complexContent>
          <xsd:extension base="dms:URL">
            <xsd:sequence>
              <xsd:element name="Url" type="dms:ValidUrl" minOccurs="0" nillable="true"/>
              <xsd:element name="Description" type="xsd:string"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0fb846bb-49da-442d-ac44-1711760f675e"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85a556c2-e159-4ae1-86b9-5c188c9cb811}" ma:internalName="TaxCatchAll" ma:showField="CatchAllData" ma:web="0fb846bb-49da-442d-ac44-1711760f675e">
      <xsd:complexType>
        <xsd:complexContent>
          <xsd:extension base="dms:MultiChoiceLookup">
            <xsd:sequence>
              <xsd:element name="Value" type="dms:Lookup" maxOccurs="unbounded" minOccurs="0" nillable="true"/>
            </xsd:sequence>
          </xsd:extension>
        </xsd:complexContent>
      </xsd:complexType>
    </xsd:element>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840EB90-1603-40A7-B649-4C83A167F4B9}">
  <ds:schemaRefs>
    <ds:schemaRef ds:uri="http://schemas.microsoft.com/office/2006/metadata/properties"/>
    <ds:schemaRef ds:uri="http://schemas.microsoft.com/office/infopath/2007/PartnerControls"/>
    <ds:schemaRef ds:uri="0fb846bb-49da-442d-ac44-1711760f675e"/>
    <ds:schemaRef ds:uri="11876741-4e3d-41e4-924e-432c5fed92e0"/>
  </ds:schemaRefs>
</ds:datastoreItem>
</file>

<file path=customXml/itemProps2.xml><?xml version="1.0" encoding="utf-8"?>
<ds:datastoreItem xmlns:ds="http://schemas.openxmlformats.org/officeDocument/2006/customXml" ds:itemID="{D2FB56BD-5A3C-47B1-A315-ABFC7A471328}">
  <ds:schemaRefs>
    <ds:schemaRef ds:uri="http://schemas.microsoft.com/sharepoint/v3/contenttype/forms"/>
  </ds:schemaRefs>
</ds:datastoreItem>
</file>

<file path=customXml/itemProps3.xml><?xml version="1.0" encoding="utf-8"?>
<ds:datastoreItem xmlns:ds="http://schemas.openxmlformats.org/officeDocument/2006/customXml" ds:itemID="{A583B0F1-5991-4C8B-82C9-61D5AFF1899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1876741-4e3d-41e4-924e-432c5fed92e0"/>
    <ds:schemaRef ds:uri="0fb846bb-49da-442d-ac44-1711760f675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DB55526A-8580-174B-9653-BEA1C3DEA1EE}">
  <ds:schemaRefs>
    <ds:schemaRef ds:uri="http://schemas.openxmlformats.org/officeDocument/2006/bibliography"/>
  </ds:schemaRefs>
</ds:datastoreItem>
</file>

<file path=docMetadata/LabelInfo.xml><?xml version="1.0" encoding="utf-8"?>
<clbl:labelList xmlns:clbl="http://schemas.microsoft.com/office/2020/mipLabelMetadata">
  <clbl:label id="{069089e8-1f81-4a58-88b4-8dee525d5c3a}" enabled="0" method="" siteId="{069089e8-1f81-4a58-88b4-8dee525d5c3a}" removed="1"/>
  <clbl:label id="{228589f0-3068-4eaa-9081-95b82895b3a2}" enabled="1" method="Privileged" siteId="{7bc03988-1063-4a03-b76c-030695984be0}" removed="0"/>
</clbl:labelList>
</file>

<file path=docProps/app.xml><?xml version="1.0" encoding="utf-8"?>
<Properties xmlns="http://schemas.openxmlformats.org/officeDocument/2006/extended-properties" xmlns:vt="http://schemas.openxmlformats.org/officeDocument/2006/docPropsVTypes">
  <Template>Normal</Template>
  <TotalTime>1</TotalTime>
  <Pages>35</Pages>
  <Words>9000</Words>
  <Characters>51300</Characters>
  <Application>Microsoft Office Word</Application>
  <DocSecurity>0</DocSecurity>
  <Lines>427</Lines>
  <Paragraphs>120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60180</CharactersWithSpaces>
  <SharedDoc>false</SharedDoc>
  <HLinks>
    <vt:vector size="294" baseType="variant">
      <vt:variant>
        <vt:i4>6488115</vt:i4>
      </vt:variant>
      <vt:variant>
        <vt:i4>351</vt:i4>
      </vt:variant>
      <vt:variant>
        <vt:i4>0</vt:i4>
      </vt:variant>
      <vt:variant>
        <vt:i4>5</vt:i4>
      </vt:variant>
      <vt:variant>
        <vt:lpwstr>https://carbonaccountingfinancials.com/files/downloads/PCAF-Global-GHG-Standard.pdf</vt:lpwstr>
      </vt:variant>
      <vt:variant>
        <vt:lpwstr/>
      </vt:variant>
      <vt:variant>
        <vt:i4>7471130</vt:i4>
      </vt:variant>
      <vt:variant>
        <vt:i4>339</vt:i4>
      </vt:variant>
      <vt:variant>
        <vt:i4>0</vt:i4>
      </vt:variant>
      <vt:variant>
        <vt:i4>5</vt:i4>
      </vt:variant>
      <vt:variant>
        <vt:lpwstr>https://www.kccap.info/index_option_com_phocadownload_view_category_id_34_Itemid_38.html</vt:lpwstr>
      </vt:variant>
      <vt:variant>
        <vt:lpwstr/>
      </vt:variant>
      <vt:variant>
        <vt:i4>1507389</vt:i4>
      </vt:variant>
      <vt:variant>
        <vt:i4>284</vt:i4>
      </vt:variant>
      <vt:variant>
        <vt:i4>0</vt:i4>
      </vt:variant>
      <vt:variant>
        <vt:i4>5</vt:i4>
      </vt:variant>
      <vt:variant>
        <vt:lpwstr/>
      </vt:variant>
      <vt:variant>
        <vt:lpwstr>_Toc167193246</vt:lpwstr>
      </vt:variant>
      <vt:variant>
        <vt:i4>1507389</vt:i4>
      </vt:variant>
      <vt:variant>
        <vt:i4>278</vt:i4>
      </vt:variant>
      <vt:variant>
        <vt:i4>0</vt:i4>
      </vt:variant>
      <vt:variant>
        <vt:i4>5</vt:i4>
      </vt:variant>
      <vt:variant>
        <vt:lpwstr/>
      </vt:variant>
      <vt:variant>
        <vt:lpwstr>_Toc167193245</vt:lpwstr>
      </vt:variant>
      <vt:variant>
        <vt:i4>1507389</vt:i4>
      </vt:variant>
      <vt:variant>
        <vt:i4>272</vt:i4>
      </vt:variant>
      <vt:variant>
        <vt:i4>0</vt:i4>
      </vt:variant>
      <vt:variant>
        <vt:i4>5</vt:i4>
      </vt:variant>
      <vt:variant>
        <vt:lpwstr/>
      </vt:variant>
      <vt:variant>
        <vt:lpwstr>_Toc167193244</vt:lpwstr>
      </vt:variant>
      <vt:variant>
        <vt:i4>1507389</vt:i4>
      </vt:variant>
      <vt:variant>
        <vt:i4>266</vt:i4>
      </vt:variant>
      <vt:variant>
        <vt:i4>0</vt:i4>
      </vt:variant>
      <vt:variant>
        <vt:i4>5</vt:i4>
      </vt:variant>
      <vt:variant>
        <vt:lpwstr/>
      </vt:variant>
      <vt:variant>
        <vt:lpwstr>_Toc167193243</vt:lpwstr>
      </vt:variant>
      <vt:variant>
        <vt:i4>1507389</vt:i4>
      </vt:variant>
      <vt:variant>
        <vt:i4>260</vt:i4>
      </vt:variant>
      <vt:variant>
        <vt:i4>0</vt:i4>
      </vt:variant>
      <vt:variant>
        <vt:i4>5</vt:i4>
      </vt:variant>
      <vt:variant>
        <vt:lpwstr/>
      </vt:variant>
      <vt:variant>
        <vt:lpwstr>_Toc167193242</vt:lpwstr>
      </vt:variant>
      <vt:variant>
        <vt:i4>1507389</vt:i4>
      </vt:variant>
      <vt:variant>
        <vt:i4>254</vt:i4>
      </vt:variant>
      <vt:variant>
        <vt:i4>0</vt:i4>
      </vt:variant>
      <vt:variant>
        <vt:i4>5</vt:i4>
      </vt:variant>
      <vt:variant>
        <vt:lpwstr/>
      </vt:variant>
      <vt:variant>
        <vt:lpwstr>_Toc167193241</vt:lpwstr>
      </vt:variant>
      <vt:variant>
        <vt:i4>1507389</vt:i4>
      </vt:variant>
      <vt:variant>
        <vt:i4>248</vt:i4>
      </vt:variant>
      <vt:variant>
        <vt:i4>0</vt:i4>
      </vt:variant>
      <vt:variant>
        <vt:i4>5</vt:i4>
      </vt:variant>
      <vt:variant>
        <vt:lpwstr/>
      </vt:variant>
      <vt:variant>
        <vt:lpwstr>_Toc167193240</vt:lpwstr>
      </vt:variant>
      <vt:variant>
        <vt:i4>1048637</vt:i4>
      </vt:variant>
      <vt:variant>
        <vt:i4>242</vt:i4>
      </vt:variant>
      <vt:variant>
        <vt:i4>0</vt:i4>
      </vt:variant>
      <vt:variant>
        <vt:i4>5</vt:i4>
      </vt:variant>
      <vt:variant>
        <vt:lpwstr/>
      </vt:variant>
      <vt:variant>
        <vt:lpwstr>_Toc167193239</vt:lpwstr>
      </vt:variant>
      <vt:variant>
        <vt:i4>1048637</vt:i4>
      </vt:variant>
      <vt:variant>
        <vt:i4>236</vt:i4>
      </vt:variant>
      <vt:variant>
        <vt:i4>0</vt:i4>
      </vt:variant>
      <vt:variant>
        <vt:i4>5</vt:i4>
      </vt:variant>
      <vt:variant>
        <vt:lpwstr/>
      </vt:variant>
      <vt:variant>
        <vt:lpwstr>_Toc167193238</vt:lpwstr>
      </vt:variant>
      <vt:variant>
        <vt:i4>1048637</vt:i4>
      </vt:variant>
      <vt:variant>
        <vt:i4>230</vt:i4>
      </vt:variant>
      <vt:variant>
        <vt:i4>0</vt:i4>
      </vt:variant>
      <vt:variant>
        <vt:i4>5</vt:i4>
      </vt:variant>
      <vt:variant>
        <vt:lpwstr/>
      </vt:variant>
      <vt:variant>
        <vt:lpwstr>_Toc167193237</vt:lpwstr>
      </vt:variant>
      <vt:variant>
        <vt:i4>1048637</vt:i4>
      </vt:variant>
      <vt:variant>
        <vt:i4>224</vt:i4>
      </vt:variant>
      <vt:variant>
        <vt:i4>0</vt:i4>
      </vt:variant>
      <vt:variant>
        <vt:i4>5</vt:i4>
      </vt:variant>
      <vt:variant>
        <vt:lpwstr/>
      </vt:variant>
      <vt:variant>
        <vt:lpwstr>_Toc167193236</vt:lpwstr>
      </vt:variant>
      <vt:variant>
        <vt:i4>1048637</vt:i4>
      </vt:variant>
      <vt:variant>
        <vt:i4>218</vt:i4>
      </vt:variant>
      <vt:variant>
        <vt:i4>0</vt:i4>
      </vt:variant>
      <vt:variant>
        <vt:i4>5</vt:i4>
      </vt:variant>
      <vt:variant>
        <vt:lpwstr/>
      </vt:variant>
      <vt:variant>
        <vt:lpwstr>_Toc167193235</vt:lpwstr>
      </vt:variant>
      <vt:variant>
        <vt:i4>1048637</vt:i4>
      </vt:variant>
      <vt:variant>
        <vt:i4>212</vt:i4>
      </vt:variant>
      <vt:variant>
        <vt:i4>0</vt:i4>
      </vt:variant>
      <vt:variant>
        <vt:i4>5</vt:i4>
      </vt:variant>
      <vt:variant>
        <vt:lpwstr/>
      </vt:variant>
      <vt:variant>
        <vt:lpwstr>_Toc167193234</vt:lpwstr>
      </vt:variant>
      <vt:variant>
        <vt:i4>1048637</vt:i4>
      </vt:variant>
      <vt:variant>
        <vt:i4>206</vt:i4>
      </vt:variant>
      <vt:variant>
        <vt:i4>0</vt:i4>
      </vt:variant>
      <vt:variant>
        <vt:i4>5</vt:i4>
      </vt:variant>
      <vt:variant>
        <vt:lpwstr/>
      </vt:variant>
      <vt:variant>
        <vt:lpwstr>_Toc167193233</vt:lpwstr>
      </vt:variant>
      <vt:variant>
        <vt:i4>1048637</vt:i4>
      </vt:variant>
      <vt:variant>
        <vt:i4>200</vt:i4>
      </vt:variant>
      <vt:variant>
        <vt:i4>0</vt:i4>
      </vt:variant>
      <vt:variant>
        <vt:i4>5</vt:i4>
      </vt:variant>
      <vt:variant>
        <vt:lpwstr/>
      </vt:variant>
      <vt:variant>
        <vt:lpwstr>_Toc167193232</vt:lpwstr>
      </vt:variant>
      <vt:variant>
        <vt:i4>1048637</vt:i4>
      </vt:variant>
      <vt:variant>
        <vt:i4>191</vt:i4>
      </vt:variant>
      <vt:variant>
        <vt:i4>0</vt:i4>
      </vt:variant>
      <vt:variant>
        <vt:i4>5</vt:i4>
      </vt:variant>
      <vt:variant>
        <vt:lpwstr/>
      </vt:variant>
      <vt:variant>
        <vt:lpwstr>_Toc167193231</vt:lpwstr>
      </vt:variant>
      <vt:variant>
        <vt:i4>1048637</vt:i4>
      </vt:variant>
      <vt:variant>
        <vt:i4>185</vt:i4>
      </vt:variant>
      <vt:variant>
        <vt:i4>0</vt:i4>
      </vt:variant>
      <vt:variant>
        <vt:i4>5</vt:i4>
      </vt:variant>
      <vt:variant>
        <vt:lpwstr/>
      </vt:variant>
      <vt:variant>
        <vt:lpwstr>_Toc167193230</vt:lpwstr>
      </vt:variant>
      <vt:variant>
        <vt:i4>1114173</vt:i4>
      </vt:variant>
      <vt:variant>
        <vt:i4>179</vt:i4>
      </vt:variant>
      <vt:variant>
        <vt:i4>0</vt:i4>
      </vt:variant>
      <vt:variant>
        <vt:i4>5</vt:i4>
      </vt:variant>
      <vt:variant>
        <vt:lpwstr/>
      </vt:variant>
      <vt:variant>
        <vt:lpwstr>_Toc167193229</vt:lpwstr>
      </vt:variant>
      <vt:variant>
        <vt:i4>1114173</vt:i4>
      </vt:variant>
      <vt:variant>
        <vt:i4>173</vt:i4>
      </vt:variant>
      <vt:variant>
        <vt:i4>0</vt:i4>
      </vt:variant>
      <vt:variant>
        <vt:i4>5</vt:i4>
      </vt:variant>
      <vt:variant>
        <vt:lpwstr/>
      </vt:variant>
      <vt:variant>
        <vt:lpwstr>_Toc167193228</vt:lpwstr>
      </vt:variant>
      <vt:variant>
        <vt:i4>1114173</vt:i4>
      </vt:variant>
      <vt:variant>
        <vt:i4>167</vt:i4>
      </vt:variant>
      <vt:variant>
        <vt:i4>0</vt:i4>
      </vt:variant>
      <vt:variant>
        <vt:i4>5</vt:i4>
      </vt:variant>
      <vt:variant>
        <vt:lpwstr/>
      </vt:variant>
      <vt:variant>
        <vt:lpwstr>_Toc167193227</vt:lpwstr>
      </vt:variant>
      <vt:variant>
        <vt:i4>1114173</vt:i4>
      </vt:variant>
      <vt:variant>
        <vt:i4>161</vt:i4>
      </vt:variant>
      <vt:variant>
        <vt:i4>0</vt:i4>
      </vt:variant>
      <vt:variant>
        <vt:i4>5</vt:i4>
      </vt:variant>
      <vt:variant>
        <vt:lpwstr/>
      </vt:variant>
      <vt:variant>
        <vt:lpwstr>_Toc167193226</vt:lpwstr>
      </vt:variant>
      <vt:variant>
        <vt:i4>1114173</vt:i4>
      </vt:variant>
      <vt:variant>
        <vt:i4>155</vt:i4>
      </vt:variant>
      <vt:variant>
        <vt:i4>0</vt:i4>
      </vt:variant>
      <vt:variant>
        <vt:i4>5</vt:i4>
      </vt:variant>
      <vt:variant>
        <vt:lpwstr/>
      </vt:variant>
      <vt:variant>
        <vt:lpwstr>_Toc167193225</vt:lpwstr>
      </vt:variant>
      <vt:variant>
        <vt:i4>1114173</vt:i4>
      </vt:variant>
      <vt:variant>
        <vt:i4>149</vt:i4>
      </vt:variant>
      <vt:variant>
        <vt:i4>0</vt:i4>
      </vt:variant>
      <vt:variant>
        <vt:i4>5</vt:i4>
      </vt:variant>
      <vt:variant>
        <vt:lpwstr/>
      </vt:variant>
      <vt:variant>
        <vt:lpwstr>_Toc167193224</vt:lpwstr>
      </vt:variant>
      <vt:variant>
        <vt:i4>1114173</vt:i4>
      </vt:variant>
      <vt:variant>
        <vt:i4>143</vt:i4>
      </vt:variant>
      <vt:variant>
        <vt:i4>0</vt:i4>
      </vt:variant>
      <vt:variant>
        <vt:i4>5</vt:i4>
      </vt:variant>
      <vt:variant>
        <vt:lpwstr/>
      </vt:variant>
      <vt:variant>
        <vt:lpwstr>_Toc167193223</vt:lpwstr>
      </vt:variant>
      <vt:variant>
        <vt:i4>1114173</vt:i4>
      </vt:variant>
      <vt:variant>
        <vt:i4>137</vt:i4>
      </vt:variant>
      <vt:variant>
        <vt:i4>0</vt:i4>
      </vt:variant>
      <vt:variant>
        <vt:i4>5</vt:i4>
      </vt:variant>
      <vt:variant>
        <vt:lpwstr/>
      </vt:variant>
      <vt:variant>
        <vt:lpwstr>_Toc167193222</vt:lpwstr>
      </vt:variant>
      <vt:variant>
        <vt:i4>1114173</vt:i4>
      </vt:variant>
      <vt:variant>
        <vt:i4>131</vt:i4>
      </vt:variant>
      <vt:variant>
        <vt:i4>0</vt:i4>
      </vt:variant>
      <vt:variant>
        <vt:i4>5</vt:i4>
      </vt:variant>
      <vt:variant>
        <vt:lpwstr/>
      </vt:variant>
      <vt:variant>
        <vt:lpwstr>_Toc167193221</vt:lpwstr>
      </vt:variant>
      <vt:variant>
        <vt:i4>1114173</vt:i4>
      </vt:variant>
      <vt:variant>
        <vt:i4>125</vt:i4>
      </vt:variant>
      <vt:variant>
        <vt:i4>0</vt:i4>
      </vt:variant>
      <vt:variant>
        <vt:i4>5</vt:i4>
      </vt:variant>
      <vt:variant>
        <vt:lpwstr/>
      </vt:variant>
      <vt:variant>
        <vt:lpwstr>_Toc167193220</vt:lpwstr>
      </vt:variant>
      <vt:variant>
        <vt:i4>1179709</vt:i4>
      </vt:variant>
      <vt:variant>
        <vt:i4>119</vt:i4>
      </vt:variant>
      <vt:variant>
        <vt:i4>0</vt:i4>
      </vt:variant>
      <vt:variant>
        <vt:i4>5</vt:i4>
      </vt:variant>
      <vt:variant>
        <vt:lpwstr/>
      </vt:variant>
      <vt:variant>
        <vt:lpwstr>_Toc167193219</vt:lpwstr>
      </vt:variant>
      <vt:variant>
        <vt:i4>1179709</vt:i4>
      </vt:variant>
      <vt:variant>
        <vt:i4>113</vt:i4>
      </vt:variant>
      <vt:variant>
        <vt:i4>0</vt:i4>
      </vt:variant>
      <vt:variant>
        <vt:i4>5</vt:i4>
      </vt:variant>
      <vt:variant>
        <vt:lpwstr/>
      </vt:variant>
      <vt:variant>
        <vt:lpwstr>_Toc167193218</vt:lpwstr>
      </vt:variant>
      <vt:variant>
        <vt:i4>1179709</vt:i4>
      </vt:variant>
      <vt:variant>
        <vt:i4>107</vt:i4>
      </vt:variant>
      <vt:variant>
        <vt:i4>0</vt:i4>
      </vt:variant>
      <vt:variant>
        <vt:i4>5</vt:i4>
      </vt:variant>
      <vt:variant>
        <vt:lpwstr/>
      </vt:variant>
      <vt:variant>
        <vt:lpwstr>_Toc167193217</vt:lpwstr>
      </vt:variant>
      <vt:variant>
        <vt:i4>1179709</vt:i4>
      </vt:variant>
      <vt:variant>
        <vt:i4>101</vt:i4>
      </vt:variant>
      <vt:variant>
        <vt:i4>0</vt:i4>
      </vt:variant>
      <vt:variant>
        <vt:i4>5</vt:i4>
      </vt:variant>
      <vt:variant>
        <vt:lpwstr/>
      </vt:variant>
      <vt:variant>
        <vt:lpwstr>_Toc167193216</vt:lpwstr>
      </vt:variant>
      <vt:variant>
        <vt:i4>1179709</vt:i4>
      </vt:variant>
      <vt:variant>
        <vt:i4>95</vt:i4>
      </vt:variant>
      <vt:variant>
        <vt:i4>0</vt:i4>
      </vt:variant>
      <vt:variant>
        <vt:i4>5</vt:i4>
      </vt:variant>
      <vt:variant>
        <vt:lpwstr/>
      </vt:variant>
      <vt:variant>
        <vt:lpwstr>_Toc167193215</vt:lpwstr>
      </vt:variant>
      <vt:variant>
        <vt:i4>1179709</vt:i4>
      </vt:variant>
      <vt:variant>
        <vt:i4>89</vt:i4>
      </vt:variant>
      <vt:variant>
        <vt:i4>0</vt:i4>
      </vt:variant>
      <vt:variant>
        <vt:i4>5</vt:i4>
      </vt:variant>
      <vt:variant>
        <vt:lpwstr/>
      </vt:variant>
      <vt:variant>
        <vt:lpwstr>_Toc167193214</vt:lpwstr>
      </vt:variant>
      <vt:variant>
        <vt:i4>1179709</vt:i4>
      </vt:variant>
      <vt:variant>
        <vt:i4>80</vt:i4>
      </vt:variant>
      <vt:variant>
        <vt:i4>0</vt:i4>
      </vt:variant>
      <vt:variant>
        <vt:i4>5</vt:i4>
      </vt:variant>
      <vt:variant>
        <vt:lpwstr/>
      </vt:variant>
      <vt:variant>
        <vt:lpwstr>_Toc167193213</vt:lpwstr>
      </vt:variant>
      <vt:variant>
        <vt:i4>1179709</vt:i4>
      </vt:variant>
      <vt:variant>
        <vt:i4>74</vt:i4>
      </vt:variant>
      <vt:variant>
        <vt:i4>0</vt:i4>
      </vt:variant>
      <vt:variant>
        <vt:i4>5</vt:i4>
      </vt:variant>
      <vt:variant>
        <vt:lpwstr/>
      </vt:variant>
      <vt:variant>
        <vt:lpwstr>_Toc167193212</vt:lpwstr>
      </vt:variant>
      <vt:variant>
        <vt:i4>1179709</vt:i4>
      </vt:variant>
      <vt:variant>
        <vt:i4>68</vt:i4>
      </vt:variant>
      <vt:variant>
        <vt:i4>0</vt:i4>
      </vt:variant>
      <vt:variant>
        <vt:i4>5</vt:i4>
      </vt:variant>
      <vt:variant>
        <vt:lpwstr/>
      </vt:variant>
      <vt:variant>
        <vt:lpwstr>_Toc167193211</vt:lpwstr>
      </vt:variant>
      <vt:variant>
        <vt:i4>1179709</vt:i4>
      </vt:variant>
      <vt:variant>
        <vt:i4>62</vt:i4>
      </vt:variant>
      <vt:variant>
        <vt:i4>0</vt:i4>
      </vt:variant>
      <vt:variant>
        <vt:i4>5</vt:i4>
      </vt:variant>
      <vt:variant>
        <vt:lpwstr/>
      </vt:variant>
      <vt:variant>
        <vt:lpwstr>_Toc167193210</vt:lpwstr>
      </vt:variant>
      <vt:variant>
        <vt:i4>1245245</vt:i4>
      </vt:variant>
      <vt:variant>
        <vt:i4>56</vt:i4>
      </vt:variant>
      <vt:variant>
        <vt:i4>0</vt:i4>
      </vt:variant>
      <vt:variant>
        <vt:i4>5</vt:i4>
      </vt:variant>
      <vt:variant>
        <vt:lpwstr/>
      </vt:variant>
      <vt:variant>
        <vt:lpwstr>_Toc167193209</vt:lpwstr>
      </vt:variant>
      <vt:variant>
        <vt:i4>1245245</vt:i4>
      </vt:variant>
      <vt:variant>
        <vt:i4>50</vt:i4>
      </vt:variant>
      <vt:variant>
        <vt:i4>0</vt:i4>
      </vt:variant>
      <vt:variant>
        <vt:i4>5</vt:i4>
      </vt:variant>
      <vt:variant>
        <vt:lpwstr/>
      </vt:variant>
      <vt:variant>
        <vt:lpwstr>_Toc167193208</vt:lpwstr>
      </vt:variant>
      <vt:variant>
        <vt:i4>1245245</vt:i4>
      </vt:variant>
      <vt:variant>
        <vt:i4>44</vt:i4>
      </vt:variant>
      <vt:variant>
        <vt:i4>0</vt:i4>
      </vt:variant>
      <vt:variant>
        <vt:i4>5</vt:i4>
      </vt:variant>
      <vt:variant>
        <vt:lpwstr/>
      </vt:variant>
      <vt:variant>
        <vt:lpwstr>_Toc167193207</vt:lpwstr>
      </vt:variant>
      <vt:variant>
        <vt:i4>1245245</vt:i4>
      </vt:variant>
      <vt:variant>
        <vt:i4>38</vt:i4>
      </vt:variant>
      <vt:variant>
        <vt:i4>0</vt:i4>
      </vt:variant>
      <vt:variant>
        <vt:i4>5</vt:i4>
      </vt:variant>
      <vt:variant>
        <vt:lpwstr/>
      </vt:variant>
      <vt:variant>
        <vt:lpwstr>_Toc167193206</vt:lpwstr>
      </vt:variant>
      <vt:variant>
        <vt:i4>1245245</vt:i4>
      </vt:variant>
      <vt:variant>
        <vt:i4>32</vt:i4>
      </vt:variant>
      <vt:variant>
        <vt:i4>0</vt:i4>
      </vt:variant>
      <vt:variant>
        <vt:i4>5</vt:i4>
      </vt:variant>
      <vt:variant>
        <vt:lpwstr/>
      </vt:variant>
      <vt:variant>
        <vt:lpwstr>_Toc167193205</vt:lpwstr>
      </vt:variant>
      <vt:variant>
        <vt:i4>1245245</vt:i4>
      </vt:variant>
      <vt:variant>
        <vt:i4>26</vt:i4>
      </vt:variant>
      <vt:variant>
        <vt:i4>0</vt:i4>
      </vt:variant>
      <vt:variant>
        <vt:i4>5</vt:i4>
      </vt:variant>
      <vt:variant>
        <vt:lpwstr/>
      </vt:variant>
      <vt:variant>
        <vt:lpwstr>_Toc167193204</vt:lpwstr>
      </vt:variant>
      <vt:variant>
        <vt:i4>1245245</vt:i4>
      </vt:variant>
      <vt:variant>
        <vt:i4>20</vt:i4>
      </vt:variant>
      <vt:variant>
        <vt:i4>0</vt:i4>
      </vt:variant>
      <vt:variant>
        <vt:i4>5</vt:i4>
      </vt:variant>
      <vt:variant>
        <vt:lpwstr/>
      </vt:variant>
      <vt:variant>
        <vt:lpwstr>_Toc167193203</vt:lpwstr>
      </vt:variant>
      <vt:variant>
        <vt:i4>1245245</vt:i4>
      </vt:variant>
      <vt:variant>
        <vt:i4>14</vt:i4>
      </vt:variant>
      <vt:variant>
        <vt:i4>0</vt:i4>
      </vt:variant>
      <vt:variant>
        <vt:i4>5</vt:i4>
      </vt:variant>
      <vt:variant>
        <vt:lpwstr/>
      </vt:variant>
      <vt:variant>
        <vt:lpwstr>_Toc167193202</vt:lpwstr>
      </vt:variant>
      <vt:variant>
        <vt:i4>1245245</vt:i4>
      </vt:variant>
      <vt:variant>
        <vt:i4>8</vt:i4>
      </vt:variant>
      <vt:variant>
        <vt:i4>0</vt:i4>
      </vt:variant>
      <vt:variant>
        <vt:i4>5</vt:i4>
      </vt:variant>
      <vt:variant>
        <vt:lpwstr/>
      </vt:variant>
      <vt:variant>
        <vt:lpwstr>_Toc167193201</vt:lpwstr>
      </vt:variant>
      <vt:variant>
        <vt:i4>1245245</vt:i4>
      </vt:variant>
      <vt:variant>
        <vt:i4>2</vt:i4>
      </vt:variant>
      <vt:variant>
        <vt:i4>0</vt:i4>
      </vt:variant>
      <vt:variant>
        <vt:i4>5</vt:i4>
      </vt:variant>
      <vt:variant>
        <vt:lpwstr/>
      </vt:variant>
      <vt:variant>
        <vt:lpwstr>_Toc167193200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Joan N. Omesa</dc:creator>
  <cp:keywords/>
  <dc:description/>
  <cp:lastModifiedBy>Reuben K. Chepngar</cp:lastModifiedBy>
  <cp:revision>2</cp:revision>
  <cp:lastPrinted>2024-08-22T14:29:00Z</cp:lastPrinted>
  <dcterms:created xsi:type="dcterms:W3CDTF">2024-10-14T12:38:00Z</dcterms:created>
  <dcterms:modified xsi:type="dcterms:W3CDTF">2024-10-14T12:38:00Z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492518d095adad02eddff7db9a4ed5bb599bdcf9de02b831a19637fbed524d95</vt:lpwstr>
  </property>
  <property fmtid="{D5CDD505-2E9C-101B-9397-08002B2CF9AE}" pid="3" name="ContentTypeId">
    <vt:lpwstr>0x01010007AE9AADD9055F48A76998BB8EEE9D03</vt:lpwstr>
  </property>
  <property fmtid="{D5CDD505-2E9C-101B-9397-08002B2CF9AE}" pid="4" name="MediaServiceImageTags">
    <vt:lpwstr/>
  </property>
  <property fmtid="{D5CDD505-2E9C-101B-9397-08002B2CF9AE}" pid="5" name="ClassificationContentMarkingFooterShapeIds">
    <vt:lpwstr>1,3,5</vt:lpwstr>
  </property>
  <property fmtid="{D5CDD505-2E9C-101B-9397-08002B2CF9AE}" pid="6" name="ClassificationContentMarkingFooterFontProps">
    <vt:lpwstr>#0000ff,9,Calibri</vt:lpwstr>
  </property>
  <property fmtid="{D5CDD505-2E9C-101B-9397-08002B2CF9AE}" pid="7" name="ClassificationContentMarkingFooterText">
    <vt:lpwstr>C2: CBK - Official</vt:lpwstr>
  </property>
</Properties>
</file>